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C63" w:rsidRPr="00E936AB" w:rsidRDefault="00ED0C63" w:rsidP="00ED0C63">
      <w:pPr>
        <w:pStyle w:val="2"/>
        <w:spacing w:line="360" w:lineRule="exact"/>
        <w:jc w:val="center"/>
        <w:rPr>
          <w:rFonts w:ascii="Times New Roman" w:eastAsia="標楷體" w:hAnsi="標楷體" w:cs="Times New Roman"/>
          <w:bCs w:val="0"/>
          <w:sz w:val="28"/>
          <w:szCs w:val="28"/>
        </w:rPr>
      </w:pPr>
      <w:bookmarkStart w:id="0" w:name="_Toc400633340"/>
      <w:r w:rsidRPr="00BF0C82">
        <w:rPr>
          <w:rFonts w:ascii="Times New Roman" w:eastAsia="標楷體" w:hAnsi="標楷體" w:cs="Times New Roman"/>
          <w:bCs w:val="0"/>
          <w:sz w:val="32"/>
          <w:szCs w:val="28"/>
        </w:rPr>
        <w:t>國立</w:t>
      </w:r>
      <w:proofErr w:type="gramStart"/>
      <w:r w:rsidRPr="00BF0C82">
        <w:rPr>
          <w:rFonts w:ascii="Times New Roman" w:eastAsia="標楷體" w:hAnsi="標楷體" w:cs="Times New Roman"/>
          <w:bCs w:val="0"/>
          <w:sz w:val="32"/>
          <w:szCs w:val="28"/>
        </w:rPr>
        <w:t>臺</w:t>
      </w:r>
      <w:proofErr w:type="gramEnd"/>
      <w:r w:rsidRPr="00BF0C82">
        <w:rPr>
          <w:rFonts w:ascii="Times New Roman" w:eastAsia="標楷體" w:hAnsi="標楷體" w:cs="Times New Roman"/>
          <w:bCs w:val="0"/>
          <w:sz w:val="32"/>
          <w:szCs w:val="28"/>
        </w:rPr>
        <w:t>中教育大學教師專業碩士學位學程</w:t>
      </w:r>
      <w:bookmarkStart w:id="1" w:name="研究生修業規定"/>
      <w:r w:rsidRPr="00BF0C82">
        <w:rPr>
          <w:rFonts w:ascii="Times New Roman" w:eastAsia="標楷體" w:hAnsi="標楷體" w:cs="Times New Roman"/>
          <w:bCs w:val="0"/>
          <w:sz w:val="32"/>
          <w:szCs w:val="28"/>
        </w:rPr>
        <w:t>研究生</w:t>
      </w:r>
      <w:bookmarkEnd w:id="0"/>
      <w:bookmarkEnd w:id="1"/>
      <w:r w:rsidRPr="00BF0C82">
        <w:rPr>
          <w:rFonts w:ascii="Times New Roman" w:eastAsia="標楷體" w:hAnsi="標楷體" w:cs="Times New Roman" w:hint="eastAsia"/>
          <w:bCs w:val="0"/>
          <w:sz w:val="32"/>
          <w:szCs w:val="28"/>
        </w:rPr>
        <w:t>畢業門檻要點</w:t>
      </w:r>
    </w:p>
    <w:p w:rsidR="00011F52" w:rsidRDefault="00ED0C63" w:rsidP="00A90773">
      <w:pPr>
        <w:spacing w:line="260" w:lineRule="exact"/>
        <w:jc w:val="right"/>
        <w:rPr>
          <w:rFonts w:eastAsia="標楷體" w:hAnsi="標楷體"/>
          <w:sz w:val="12"/>
          <w:szCs w:val="16"/>
        </w:rPr>
      </w:pPr>
      <w:r>
        <w:rPr>
          <w:rFonts w:eastAsia="標楷體" w:hAnsi="標楷體" w:hint="eastAsia"/>
          <w:sz w:val="12"/>
          <w:szCs w:val="16"/>
        </w:rPr>
        <w:t>111</w:t>
      </w:r>
      <w:r>
        <w:rPr>
          <w:rFonts w:eastAsia="標楷體" w:hAnsi="標楷體" w:hint="eastAsia"/>
          <w:sz w:val="12"/>
          <w:szCs w:val="16"/>
        </w:rPr>
        <w:t>年</w:t>
      </w:r>
      <w:r>
        <w:rPr>
          <w:rFonts w:eastAsia="標楷體" w:hAnsi="標楷體"/>
          <w:sz w:val="12"/>
          <w:szCs w:val="16"/>
        </w:rPr>
        <w:t>4</w:t>
      </w:r>
      <w:r>
        <w:rPr>
          <w:rFonts w:eastAsia="標楷體" w:hAnsi="標楷體" w:hint="eastAsia"/>
          <w:sz w:val="12"/>
          <w:szCs w:val="16"/>
        </w:rPr>
        <w:t>月</w:t>
      </w:r>
      <w:r>
        <w:rPr>
          <w:rFonts w:eastAsia="標楷體" w:hAnsi="標楷體"/>
          <w:sz w:val="12"/>
          <w:szCs w:val="16"/>
        </w:rPr>
        <w:t>28</w:t>
      </w:r>
      <w:r>
        <w:rPr>
          <w:rFonts w:eastAsia="標楷體" w:hAnsi="標楷體" w:hint="eastAsia"/>
          <w:sz w:val="12"/>
          <w:szCs w:val="16"/>
        </w:rPr>
        <w:t>日</w:t>
      </w:r>
      <w:r>
        <w:rPr>
          <w:rFonts w:eastAsia="標楷體" w:hAnsi="標楷體" w:hint="eastAsia"/>
          <w:sz w:val="12"/>
          <w:szCs w:val="16"/>
        </w:rPr>
        <w:t>110</w:t>
      </w:r>
      <w:r>
        <w:rPr>
          <w:rFonts w:eastAsia="標楷體" w:hAnsi="標楷體" w:hint="eastAsia"/>
          <w:sz w:val="12"/>
          <w:szCs w:val="16"/>
        </w:rPr>
        <w:t>學年度第</w:t>
      </w:r>
      <w:r>
        <w:rPr>
          <w:rFonts w:eastAsia="標楷體" w:hAnsi="標楷體" w:hint="eastAsia"/>
          <w:sz w:val="12"/>
          <w:szCs w:val="16"/>
        </w:rPr>
        <w:t>2</w:t>
      </w:r>
      <w:r>
        <w:rPr>
          <w:rFonts w:eastAsia="標楷體" w:hAnsi="標楷體" w:hint="eastAsia"/>
          <w:sz w:val="12"/>
          <w:szCs w:val="16"/>
        </w:rPr>
        <w:t>學期第</w:t>
      </w:r>
      <w:r>
        <w:rPr>
          <w:rFonts w:eastAsia="標楷體" w:hAnsi="標楷體" w:hint="eastAsia"/>
          <w:sz w:val="12"/>
          <w:szCs w:val="16"/>
        </w:rPr>
        <w:t>1</w:t>
      </w:r>
      <w:r>
        <w:rPr>
          <w:rFonts w:eastAsia="標楷體" w:hAnsi="標楷體" w:hint="eastAsia"/>
          <w:sz w:val="12"/>
          <w:szCs w:val="16"/>
        </w:rPr>
        <w:t>次學程事務會議</w:t>
      </w:r>
      <w:r w:rsidR="003C1A06" w:rsidRPr="006944B9">
        <w:rPr>
          <w:rFonts w:eastAsia="標楷體" w:hAnsi="標楷體" w:hint="eastAsia"/>
          <w:sz w:val="12"/>
          <w:szCs w:val="16"/>
        </w:rPr>
        <w:t>通過</w:t>
      </w:r>
    </w:p>
    <w:p w:rsidR="00A90773" w:rsidRDefault="00A90773" w:rsidP="00A90773">
      <w:pPr>
        <w:spacing w:line="260" w:lineRule="exact"/>
        <w:jc w:val="right"/>
        <w:rPr>
          <w:rFonts w:eastAsia="標楷體" w:hAnsi="標楷體"/>
          <w:sz w:val="12"/>
          <w:szCs w:val="16"/>
        </w:rPr>
      </w:pPr>
      <w:r>
        <w:rPr>
          <w:rFonts w:eastAsia="標楷體" w:hAnsi="標楷體" w:hint="eastAsia"/>
          <w:sz w:val="12"/>
          <w:szCs w:val="16"/>
        </w:rPr>
        <w:t>112</w:t>
      </w:r>
      <w:r>
        <w:rPr>
          <w:rFonts w:eastAsia="標楷體" w:hAnsi="標楷體" w:hint="eastAsia"/>
          <w:sz w:val="12"/>
          <w:szCs w:val="16"/>
        </w:rPr>
        <w:t>年</w:t>
      </w:r>
      <w:r>
        <w:rPr>
          <w:rFonts w:eastAsia="標楷體" w:hAnsi="標楷體" w:hint="eastAsia"/>
          <w:sz w:val="12"/>
          <w:szCs w:val="16"/>
        </w:rPr>
        <w:t>9</w:t>
      </w:r>
      <w:r>
        <w:rPr>
          <w:rFonts w:eastAsia="標楷體" w:hAnsi="標楷體" w:hint="eastAsia"/>
          <w:sz w:val="12"/>
          <w:szCs w:val="16"/>
        </w:rPr>
        <w:t>月</w:t>
      </w:r>
      <w:r>
        <w:rPr>
          <w:rFonts w:eastAsia="標楷體" w:hAnsi="標楷體" w:hint="eastAsia"/>
          <w:sz w:val="12"/>
          <w:szCs w:val="16"/>
        </w:rPr>
        <w:t>19</w:t>
      </w:r>
      <w:r>
        <w:rPr>
          <w:rFonts w:eastAsia="標楷體" w:hAnsi="標楷體" w:hint="eastAsia"/>
          <w:sz w:val="12"/>
          <w:szCs w:val="16"/>
        </w:rPr>
        <w:t>日</w:t>
      </w:r>
      <w:r>
        <w:rPr>
          <w:rFonts w:eastAsia="標楷體" w:hAnsi="標楷體" w:hint="eastAsia"/>
          <w:sz w:val="12"/>
          <w:szCs w:val="16"/>
        </w:rPr>
        <w:t>112</w:t>
      </w:r>
      <w:r>
        <w:rPr>
          <w:rFonts w:eastAsia="標楷體" w:hAnsi="標楷體" w:hint="eastAsia"/>
          <w:sz w:val="12"/>
          <w:szCs w:val="16"/>
        </w:rPr>
        <w:t>學年度第</w:t>
      </w:r>
      <w:r>
        <w:rPr>
          <w:rFonts w:eastAsia="標楷體" w:hAnsi="標楷體" w:hint="eastAsia"/>
          <w:sz w:val="12"/>
          <w:szCs w:val="16"/>
        </w:rPr>
        <w:t>1</w:t>
      </w:r>
      <w:r>
        <w:rPr>
          <w:rFonts w:eastAsia="標楷體" w:hAnsi="標楷體" w:hint="eastAsia"/>
          <w:sz w:val="12"/>
          <w:szCs w:val="16"/>
        </w:rPr>
        <w:t>學期第</w:t>
      </w:r>
      <w:r>
        <w:rPr>
          <w:rFonts w:eastAsia="標楷體" w:hAnsi="標楷體" w:hint="eastAsia"/>
          <w:sz w:val="12"/>
          <w:szCs w:val="16"/>
        </w:rPr>
        <w:t>1</w:t>
      </w:r>
      <w:r>
        <w:rPr>
          <w:rFonts w:eastAsia="標楷體" w:hAnsi="標楷體" w:hint="eastAsia"/>
          <w:sz w:val="12"/>
          <w:szCs w:val="16"/>
        </w:rPr>
        <w:t>次學程事務會議修正第六點</w:t>
      </w:r>
    </w:p>
    <w:p w:rsidR="001B3332" w:rsidRDefault="001B3332" w:rsidP="00A90773">
      <w:pPr>
        <w:spacing w:line="260" w:lineRule="exact"/>
        <w:jc w:val="right"/>
        <w:rPr>
          <w:rFonts w:eastAsia="標楷體" w:hAnsi="標楷體"/>
          <w:sz w:val="12"/>
          <w:szCs w:val="16"/>
        </w:rPr>
      </w:pPr>
      <w:r>
        <w:rPr>
          <w:rFonts w:eastAsia="標楷體" w:hAnsi="標楷體" w:hint="eastAsia"/>
          <w:sz w:val="12"/>
          <w:szCs w:val="16"/>
        </w:rPr>
        <w:t>11</w:t>
      </w:r>
      <w:r>
        <w:rPr>
          <w:rFonts w:eastAsia="標楷體" w:hAnsi="標楷體"/>
          <w:sz w:val="12"/>
          <w:szCs w:val="16"/>
        </w:rPr>
        <w:t>3</w:t>
      </w:r>
      <w:r>
        <w:rPr>
          <w:rFonts w:eastAsia="標楷體" w:hAnsi="標楷體" w:hint="eastAsia"/>
          <w:sz w:val="12"/>
          <w:szCs w:val="16"/>
        </w:rPr>
        <w:t>年</w:t>
      </w:r>
      <w:r>
        <w:rPr>
          <w:rFonts w:eastAsia="標楷體" w:hAnsi="標楷體"/>
          <w:sz w:val="12"/>
          <w:szCs w:val="16"/>
        </w:rPr>
        <w:t>3</w:t>
      </w:r>
      <w:r>
        <w:rPr>
          <w:rFonts w:eastAsia="標楷體" w:hAnsi="標楷體" w:hint="eastAsia"/>
          <w:sz w:val="12"/>
          <w:szCs w:val="16"/>
        </w:rPr>
        <w:t>月</w:t>
      </w:r>
      <w:r>
        <w:rPr>
          <w:rFonts w:eastAsia="標楷體" w:hAnsi="標楷體"/>
          <w:sz w:val="12"/>
          <w:szCs w:val="16"/>
        </w:rPr>
        <w:t>12</w:t>
      </w:r>
      <w:r>
        <w:rPr>
          <w:rFonts w:eastAsia="標楷體" w:hAnsi="標楷體" w:hint="eastAsia"/>
          <w:sz w:val="12"/>
          <w:szCs w:val="16"/>
        </w:rPr>
        <w:t>日</w:t>
      </w:r>
      <w:r>
        <w:rPr>
          <w:rFonts w:eastAsia="標楷體" w:hAnsi="標楷體" w:hint="eastAsia"/>
          <w:sz w:val="12"/>
          <w:szCs w:val="16"/>
        </w:rPr>
        <w:t>112</w:t>
      </w:r>
      <w:r>
        <w:rPr>
          <w:rFonts w:eastAsia="標楷體" w:hAnsi="標楷體" w:hint="eastAsia"/>
          <w:sz w:val="12"/>
          <w:szCs w:val="16"/>
        </w:rPr>
        <w:t>學年度第</w:t>
      </w:r>
      <w:r>
        <w:rPr>
          <w:rFonts w:eastAsia="標楷體" w:hAnsi="標楷體"/>
          <w:sz w:val="12"/>
          <w:szCs w:val="16"/>
        </w:rPr>
        <w:t>2</w:t>
      </w:r>
      <w:r>
        <w:rPr>
          <w:rFonts w:eastAsia="標楷體" w:hAnsi="標楷體" w:hint="eastAsia"/>
          <w:sz w:val="12"/>
          <w:szCs w:val="16"/>
        </w:rPr>
        <w:t>學期第</w:t>
      </w:r>
      <w:r>
        <w:rPr>
          <w:rFonts w:eastAsia="標楷體" w:hAnsi="標楷體" w:hint="eastAsia"/>
          <w:sz w:val="12"/>
          <w:szCs w:val="16"/>
        </w:rPr>
        <w:t>1</w:t>
      </w:r>
      <w:r>
        <w:rPr>
          <w:rFonts w:eastAsia="標楷體" w:hAnsi="標楷體" w:hint="eastAsia"/>
          <w:sz w:val="12"/>
          <w:szCs w:val="16"/>
        </w:rPr>
        <w:t>次學程事務會議修正第十一點</w:t>
      </w:r>
    </w:p>
    <w:p w:rsidR="00ED0C63" w:rsidRPr="006944B9" w:rsidRDefault="00ED0C63" w:rsidP="00E10F66">
      <w:pPr>
        <w:pStyle w:val="a3"/>
        <w:numPr>
          <w:ilvl w:val="0"/>
          <w:numId w:val="1"/>
        </w:numPr>
        <w:spacing w:line="340" w:lineRule="exact"/>
        <w:ind w:leftChars="0"/>
        <w:rPr>
          <w:rFonts w:ascii="標楷體" w:eastAsia="標楷體" w:hAnsi="標楷體"/>
        </w:rPr>
      </w:pPr>
      <w:r w:rsidRPr="006944B9">
        <w:rPr>
          <w:rFonts w:ascii="標楷體" w:eastAsia="標楷體" w:hAnsi="標楷體" w:hint="eastAsia"/>
        </w:rPr>
        <w:t>國立</w:t>
      </w:r>
      <w:proofErr w:type="gramStart"/>
      <w:r w:rsidRPr="006944B9">
        <w:rPr>
          <w:rFonts w:ascii="標楷體" w:eastAsia="標楷體" w:hAnsi="標楷體" w:hint="eastAsia"/>
        </w:rPr>
        <w:t>臺</w:t>
      </w:r>
      <w:proofErr w:type="gramEnd"/>
      <w:r w:rsidRPr="006944B9">
        <w:rPr>
          <w:rFonts w:ascii="標楷體" w:eastAsia="標楷體" w:hAnsi="標楷體" w:hint="eastAsia"/>
        </w:rPr>
        <w:t>中教育大學教師專業碩士學位學程（以下簡稱本學程）為詳細規劃學程生畢業門檻之相關規定，特依教育部師資培育助學金及分發服務辦法、本校學則、本學程研究生修業規定等訂定國立臺中教育大學教師專業碩士學位學程研究生畢業門檻要點（以下簡稱本要點）。</w:t>
      </w:r>
    </w:p>
    <w:p w:rsidR="00ED0C63" w:rsidRPr="006944B9" w:rsidRDefault="00ED0C63" w:rsidP="00E10F66">
      <w:pPr>
        <w:pStyle w:val="a3"/>
        <w:numPr>
          <w:ilvl w:val="0"/>
          <w:numId w:val="1"/>
        </w:numPr>
        <w:spacing w:line="340" w:lineRule="exact"/>
        <w:ind w:leftChars="0"/>
        <w:rPr>
          <w:rFonts w:ascii="標楷體" w:eastAsia="標楷體" w:hAnsi="標楷體"/>
        </w:rPr>
      </w:pPr>
      <w:r w:rsidRPr="006944B9">
        <w:rPr>
          <w:rFonts w:ascii="標楷體" w:eastAsia="標楷體" w:hAnsi="標楷體" w:hint="eastAsia"/>
        </w:rPr>
        <w:t>本學</w:t>
      </w:r>
      <w:proofErr w:type="gramStart"/>
      <w:r w:rsidRPr="006944B9">
        <w:rPr>
          <w:rFonts w:ascii="標楷體" w:eastAsia="標楷體" w:hAnsi="標楷體" w:hint="eastAsia"/>
        </w:rPr>
        <w:t>程生需於</w:t>
      </w:r>
      <w:proofErr w:type="gramEnd"/>
      <w:r w:rsidRPr="006944B9">
        <w:rPr>
          <w:rFonts w:ascii="標楷體" w:eastAsia="標楷體" w:hAnsi="標楷體" w:hint="eastAsia"/>
        </w:rPr>
        <w:t>畢業分發前完成下列條件，始得畢業及分發服務，並須於申請學位論文考試時，檢附佐證資料以供查驗。</w:t>
      </w:r>
    </w:p>
    <w:p w:rsidR="00ED0C63" w:rsidRPr="006944B9" w:rsidRDefault="00ED0C63" w:rsidP="00E10F66">
      <w:pPr>
        <w:pStyle w:val="a3"/>
        <w:numPr>
          <w:ilvl w:val="0"/>
          <w:numId w:val="1"/>
        </w:numPr>
        <w:spacing w:line="340" w:lineRule="exact"/>
        <w:ind w:leftChars="0"/>
        <w:rPr>
          <w:rFonts w:ascii="標楷體" w:eastAsia="標楷體" w:hAnsi="標楷體"/>
        </w:rPr>
      </w:pPr>
      <w:r w:rsidRPr="006944B9">
        <w:rPr>
          <w:rFonts w:ascii="標楷體" w:eastAsia="標楷體" w:hAnsi="標楷體" w:hint="eastAsia"/>
        </w:rPr>
        <w:t>服務門檻</w:t>
      </w:r>
    </w:p>
    <w:p w:rsidR="00ED0C63" w:rsidRPr="006944B9" w:rsidRDefault="00ED0C63" w:rsidP="00E10F66">
      <w:pPr>
        <w:spacing w:line="340" w:lineRule="exact"/>
        <w:ind w:firstLineChars="177" w:firstLine="425"/>
        <w:rPr>
          <w:rFonts w:ascii="標楷體" w:eastAsia="標楷體" w:hAnsi="標楷體"/>
        </w:rPr>
      </w:pPr>
      <w:r w:rsidRPr="006944B9">
        <w:rPr>
          <w:rFonts w:ascii="標楷體" w:eastAsia="標楷體" w:hAnsi="標楷體" w:hint="eastAsia"/>
        </w:rPr>
        <w:t>1.每學年義務輔導學習弱勢、經濟弱勢或區域弱勢學生72小時以上。</w:t>
      </w:r>
    </w:p>
    <w:p w:rsidR="00ED0C63" w:rsidRPr="006944B9" w:rsidRDefault="00ED0C63" w:rsidP="00E10F66">
      <w:pPr>
        <w:spacing w:line="340" w:lineRule="exact"/>
        <w:ind w:leftChars="177" w:left="708" w:hangingChars="118" w:hanging="283"/>
        <w:rPr>
          <w:rFonts w:ascii="標楷體" w:eastAsia="標楷體" w:hAnsi="標楷體"/>
        </w:rPr>
      </w:pPr>
      <w:r w:rsidRPr="006944B9">
        <w:rPr>
          <w:rFonts w:ascii="標楷體" w:eastAsia="標楷體" w:hAnsi="標楷體" w:hint="eastAsia"/>
        </w:rPr>
        <w:t>2.學程生以參與本學程規劃之服務活動為原則。如因重大因素或特殊理由得於事前提出申請，經學程核准後於相關學校或機構補足服務時數。</w:t>
      </w:r>
    </w:p>
    <w:p w:rsidR="00ED0C63" w:rsidRPr="006944B9" w:rsidRDefault="00ED0C63" w:rsidP="00E10F66">
      <w:pPr>
        <w:spacing w:line="340" w:lineRule="exact"/>
        <w:rPr>
          <w:rFonts w:ascii="標楷體" w:eastAsia="標楷體" w:hAnsi="標楷體"/>
        </w:rPr>
      </w:pPr>
      <w:r w:rsidRPr="006944B9">
        <w:rPr>
          <w:rFonts w:ascii="標楷體" w:eastAsia="標楷體" w:hAnsi="標楷體" w:hint="eastAsia"/>
        </w:rPr>
        <w:t>四、學術門檻</w:t>
      </w:r>
    </w:p>
    <w:p w:rsidR="00ED0C63" w:rsidRPr="006944B9" w:rsidRDefault="00ED0C63" w:rsidP="00E10F66">
      <w:pPr>
        <w:spacing w:line="340" w:lineRule="exact"/>
        <w:ind w:firstLineChars="177" w:firstLine="425"/>
        <w:rPr>
          <w:rFonts w:ascii="標楷體" w:eastAsia="標楷體" w:hAnsi="標楷體"/>
        </w:rPr>
      </w:pPr>
      <w:r w:rsidRPr="006944B9">
        <w:rPr>
          <w:rFonts w:ascii="標楷體" w:eastAsia="標楷體" w:hAnsi="標楷體" w:hint="eastAsia"/>
        </w:rPr>
        <w:t>1.修業期間內需旁聽論文計畫發表及學位論文考試各1場</w:t>
      </w:r>
    </w:p>
    <w:p w:rsidR="00ED0C63" w:rsidRPr="006944B9" w:rsidRDefault="00ED0C63" w:rsidP="00E10F66">
      <w:pPr>
        <w:spacing w:line="340" w:lineRule="exact"/>
        <w:ind w:firstLineChars="177" w:firstLine="425"/>
        <w:rPr>
          <w:rFonts w:ascii="標楷體" w:eastAsia="標楷體" w:hAnsi="標楷體"/>
        </w:rPr>
      </w:pPr>
      <w:r w:rsidRPr="006944B9">
        <w:rPr>
          <w:rFonts w:ascii="標楷體" w:eastAsia="標楷體" w:hAnsi="標楷體" w:hint="eastAsia"/>
        </w:rPr>
        <w:t>2.修業期間內至少參加2場與教育、教學主題相關之學術研討會。</w:t>
      </w:r>
    </w:p>
    <w:p w:rsidR="00ED0C63" w:rsidRPr="006944B9" w:rsidRDefault="00ED0C63" w:rsidP="00E10F66">
      <w:pPr>
        <w:spacing w:line="340" w:lineRule="exact"/>
        <w:ind w:leftChars="177" w:left="708" w:hangingChars="118" w:hanging="283"/>
        <w:rPr>
          <w:rFonts w:ascii="標楷體" w:eastAsia="標楷體" w:hAnsi="標楷體"/>
        </w:rPr>
      </w:pPr>
      <w:r w:rsidRPr="006944B9">
        <w:rPr>
          <w:rFonts w:ascii="標楷體" w:eastAsia="標楷體" w:hAnsi="標楷體" w:hint="eastAsia"/>
        </w:rPr>
        <w:t>3.修業期間內應於與教育、教學主題相關之學術研討會中擔任發表人，</w:t>
      </w:r>
      <w:proofErr w:type="gramStart"/>
      <w:r w:rsidRPr="006944B9">
        <w:rPr>
          <w:rFonts w:ascii="標楷體" w:eastAsia="標楷體" w:hAnsi="標楷體" w:hint="eastAsia"/>
        </w:rPr>
        <w:t>如學程</w:t>
      </w:r>
      <w:proofErr w:type="gramEnd"/>
      <w:r w:rsidRPr="006944B9">
        <w:rPr>
          <w:rFonts w:ascii="標楷體" w:eastAsia="標楷體" w:hAnsi="標楷體" w:hint="eastAsia"/>
        </w:rPr>
        <w:t>生以本校名義投稿於國內外優良期刊者，另予獎勵。</w:t>
      </w:r>
    </w:p>
    <w:p w:rsidR="00ED0C63" w:rsidRPr="006944B9" w:rsidRDefault="00ED0C63" w:rsidP="00E10F66">
      <w:pPr>
        <w:spacing w:line="340" w:lineRule="exact"/>
        <w:ind w:leftChars="177" w:left="706" w:hangingChars="117" w:hanging="281"/>
        <w:rPr>
          <w:rFonts w:ascii="標楷體" w:eastAsia="標楷體" w:hAnsi="標楷體"/>
        </w:rPr>
      </w:pPr>
      <w:r w:rsidRPr="006944B9">
        <w:rPr>
          <w:rFonts w:ascii="標楷體" w:eastAsia="標楷體" w:hAnsi="標楷體" w:hint="eastAsia"/>
        </w:rPr>
        <w:t>4.學</w:t>
      </w:r>
      <w:proofErr w:type="gramStart"/>
      <w:r w:rsidRPr="006944B9">
        <w:rPr>
          <w:rFonts w:ascii="標楷體" w:eastAsia="標楷體" w:hAnsi="標楷體" w:hint="eastAsia"/>
        </w:rPr>
        <w:t>程生需修</w:t>
      </w:r>
      <w:proofErr w:type="gramEnd"/>
      <w:r w:rsidRPr="006944B9">
        <w:rPr>
          <w:rFonts w:ascii="標楷體" w:eastAsia="標楷體" w:hAnsi="標楷體" w:hint="eastAsia"/>
        </w:rPr>
        <w:t>習臺灣學術倫理教育資源中心研究倫理核心課程並取得通過證明，以入學第一學年結束前修習本課程為原則，完成始得申請學位論文考試。</w:t>
      </w:r>
    </w:p>
    <w:p w:rsidR="00ED0C63" w:rsidRPr="006944B9" w:rsidRDefault="00ED0C63" w:rsidP="00E10F66">
      <w:pPr>
        <w:spacing w:line="340" w:lineRule="exact"/>
        <w:rPr>
          <w:rFonts w:ascii="標楷體" w:eastAsia="標楷體" w:hAnsi="標楷體"/>
        </w:rPr>
      </w:pPr>
      <w:r w:rsidRPr="006944B9">
        <w:rPr>
          <w:rFonts w:ascii="標楷體" w:eastAsia="標楷體" w:hAnsi="標楷體" w:hint="eastAsia"/>
        </w:rPr>
        <w:t>五、分發縣市之專業知能需求</w:t>
      </w:r>
    </w:p>
    <w:p w:rsidR="00ED0C63" w:rsidRPr="006944B9" w:rsidRDefault="00ED0C63" w:rsidP="00E10F66">
      <w:pPr>
        <w:spacing w:line="340" w:lineRule="exact"/>
        <w:ind w:firstLineChars="177" w:firstLine="425"/>
        <w:rPr>
          <w:rFonts w:ascii="標楷體" w:eastAsia="標楷體" w:hAnsi="標楷體"/>
        </w:rPr>
      </w:pPr>
      <w:r w:rsidRPr="006944B9">
        <w:rPr>
          <w:rFonts w:ascii="標楷體" w:eastAsia="標楷體" w:hAnsi="標楷體" w:hint="eastAsia"/>
        </w:rPr>
        <w:t>學</w:t>
      </w:r>
      <w:proofErr w:type="gramStart"/>
      <w:r w:rsidRPr="006944B9">
        <w:rPr>
          <w:rFonts w:ascii="標楷體" w:eastAsia="標楷體" w:hAnsi="標楷體" w:hint="eastAsia"/>
        </w:rPr>
        <w:t>程生須完成</w:t>
      </w:r>
      <w:proofErr w:type="gramEnd"/>
      <w:r w:rsidRPr="006944B9">
        <w:rPr>
          <w:rFonts w:ascii="標楷體" w:eastAsia="標楷體" w:hAnsi="標楷體" w:hint="eastAsia"/>
        </w:rPr>
        <w:t>分發縣市要求之專業知能需求等相關規定，始得分發服務。</w:t>
      </w:r>
    </w:p>
    <w:p w:rsidR="00ED0C63" w:rsidRPr="0014651C" w:rsidRDefault="00ED0C63" w:rsidP="00E10F66">
      <w:pPr>
        <w:spacing w:line="340" w:lineRule="exact"/>
        <w:rPr>
          <w:rFonts w:ascii="標楷體" w:eastAsia="標楷體" w:hAnsi="標楷體"/>
        </w:rPr>
      </w:pPr>
      <w:r w:rsidRPr="0014651C">
        <w:rPr>
          <w:rFonts w:ascii="標楷體" w:eastAsia="標楷體" w:hAnsi="標楷體" w:hint="eastAsia"/>
        </w:rPr>
        <w:t>六、</w:t>
      </w:r>
      <w:proofErr w:type="gramStart"/>
      <w:r w:rsidRPr="0014651C">
        <w:rPr>
          <w:rFonts w:ascii="標楷體" w:eastAsia="標楷體" w:hAnsi="標楷體" w:hint="eastAsia"/>
        </w:rPr>
        <w:t>加修專長</w:t>
      </w:r>
      <w:proofErr w:type="gramEnd"/>
      <w:r w:rsidRPr="0014651C">
        <w:rPr>
          <w:rFonts w:ascii="標楷體" w:eastAsia="標楷體" w:hAnsi="標楷體" w:hint="eastAsia"/>
        </w:rPr>
        <w:t>領域課程</w:t>
      </w:r>
    </w:p>
    <w:p w:rsidR="00ED0C63" w:rsidRPr="0014651C" w:rsidRDefault="00ED0C63" w:rsidP="00E10F66">
      <w:pPr>
        <w:spacing w:line="340" w:lineRule="exact"/>
        <w:ind w:leftChars="236" w:left="849" w:hangingChars="118" w:hanging="283"/>
        <w:rPr>
          <w:rFonts w:ascii="標楷體" w:eastAsia="標楷體" w:hAnsi="標楷體"/>
        </w:rPr>
      </w:pPr>
      <w:r w:rsidRPr="0014651C">
        <w:rPr>
          <w:rFonts w:ascii="標楷體" w:eastAsia="標楷體" w:hAnsi="標楷體" w:hint="eastAsia"/>
        </w:rPr>
        <w:t>1.</w:t>
      </w:r>
      <w:r w:rsidRPr="0014651C">
        <w:rPr>
          <w:rFonts w:ascii="標楷體" w:eastAsia="標楷體" w:hAnsi="標楷體" w:hint="eastAsia"/>
        </w:rPr>
        <w:tab/>
        <w:t>一般學程生應擇一修畢教育部頒布之加</w:t>
      </w:r>
      <w:proofErr w:type="gramStart"/>
      <w:r w:rsidRPr="0014651C">
        <w:rPr>
          <w:rFonts w:ascii="標楷體" w:eastAsia="標楷體" w:hAnsi="標楷體" w:hint="eastAsia"/>
        </w:rPr>
        <w:t>註</w:t>
      </w:r>
      <w:proofErr w:type="gramEnd"/>
      <w:r w:rsidRPr="0014651C">
        <w:rPr>
          <w:rFonts w:ascii="標楷體" w:eastAsia="標楷體" w:hAnsi="標楷體" w:hint="eastAsia"/>
        </w:rPr>
        <w:t>專長領域（加</w:t>
      </w:r>
      <w:proofErr w:type="gramStart"/>
      <w:r w:rsidRPr="0014651C">
        <w:rPr>
          <w:rFonts w:ascii="標楷體" w:eastAsia="標楷體" w:hAnsi="標楷體" w:hint="eastAsia"/>
        </w:rPr>
        <w:t>註</w:t>
      </w:r>
      <w:proofErr w:type="gramEnd"/>
      <w:r w:rsidRPr="0014651C">
        <w:rPr>
          <w:rFonts w:ascii="標楷體" w:eastAsia="標楷體" w:hAnsi="標楷體" w:hint="eastAsia"/>
        </w:rPr>
        <w:t>英語、自然、輔導、</w:t>
      </w:r>
      <w:r w:rsidR="00BA1834" w:rsidRPr="0014651C">
        <w:rPr>
          <w:rFonts w:ascii="標楷體" w:eastAsia="標楷體" w:hAnsi="標楷體" w:hint="eastAsia"/>
        </w:rPr>
        <w:t>科技</w:t>
      </w:r>
      <w:r w:rsidRPr="0014651C">
        <w:rPr>
          <w:rFonts w:ascii="標楷體" w:eastAsia="標楷體" w:hAnsi="標楷體" w:hint="eastAsia"/>
        </w:rPr>
        <w:t>）課程。</w:t>
      </w:r>
    </w:p>
    <w:p w:rsidR="00ED0C63" w:rsidRPr="0014651C" w:rsidRDefault="00ED0C63" w:rsidP="00E10F66">
      <w:pPr>
        <w:spacing w:line="340" w:lineRule="exact"/>
        <w:ind w:firstLineChars="236" w:firstLine="566"/>
        <w:rPr>
          <w:rFonts w:ascii="標楷體" w:eastAsia="標楷體" w:hAnsi="標楷體"/>
        </w:rPr>
      </w:pPr>
      <w:r w:rsidRPr="0014651C">
        <w:rPr>
          <w:rFonts w:ascii="標楷體" w:eastAsia="標楷體" w:hAnsi="標楷體" w:hint="eastAsia"/>
        </w:rPr>
        <w:t>2.原住民學程生應修畢原住民族語言文化模組或民族教育次專長課程。</w:t>
      </w:r>
    </w:p>
    <w:p w:rsidR="00ED0C63" w:rsidRPr="0014651C" w:rsidRDefault="00ED0C63" w:rsidP="00E10F66">
      <w:pPr>
        <w:spacing w:line="340" w:lineRule="exact"/>
        <w:ind w:firstLineChars="236" w:firstLine="566"/>
        <w:rPr>
          <w:rFonts w:ascii="標楷體" w:eastAsia="標楷體" w:hAnsi="標楷體"/>
        </w:rPr>
      </w:pPr>
      <w:r w:rsidRPr="0014651C">
        <w:rPr>
          <w:rFonts w:ascii="標楷體" w:eastAsia="標楷體" w:hAnsi="標楷體" w:hint="eastAsia"/>
        </w:rPr>
        <w:t>3.分發縣市政府若指定加</w:t>
      </w:r>
      <w:proofErr w:type="gramStart"/>
      <w:r w:rsidRPr="0014651C">
        <w:rPr>
          <w:rFonts w:ascii="標楷體" w:eastAsia="標楷體" w:hAnsi="標楷體" w:hint="eastAsia"/>
        </w:rPr>
        <w:t>註</w:t>
      </w:r>
      <w:proofErr w:type="gramEnd"/>
      <w:r w:rsidRPr="0014651C">
        <w:rPr>
          <w:rFonts w:ascii="標楷體" w:eastAsia="標楷體" w:hAnsi="標楷體" w:hint="eastAsia"/>
        </w:rPr>
        <w:t>專長領域，學</w:t>
      </w:r>
      <w:proofErr w:type="gramStart"/>
      <w:r w:rsidRPr="0014651C">
        <w:rPr>
          <w:rFonts w:ascii="標楷體" w:eastAsia="標楷體" w:hAnsi="標楷體" w:hint="eastAsia"/>
        </w:rPr>
        <w:t>程生需配合</w:t>
      </w:r>
      <w:proofErr w:type="gramEnd"/>
      <w:r w:rsidRPr="0014651C">
        <w:rPr>
          <w:rFonts w:ascii="標楷體" w:eastAsia="標楷體" w:hAnsi="標楷體" w:hint="eastAsia"/>
        </w:rPr>
        <w:t>縣市政府要求修習。</w:t>
      </w:r>
    </w:p>
    <w:p w:rsidR="00ED0C63" w:rsidRPr="0014651C" w:rsidRDefault="00ED0C63" w:rsidP="00E10F66">
      <w:pPr>
        <w:spacing w:line="340" w:lineRule="exact"/>
        <w:rPr>
          <w:rFonts w:ascii="標楷體" w:eastAsia="標楷體" w:hAnsi="標楷體"/>
        </w:rPr>
      </w:pPr>
      <w:r w:rsidRPr="0014651C">
        <w:rPr>
          <w:rFonts w:ascii="標楷體" w:eastAsia="標楷體" w:hAnsi="標楷體" w:hint="eastAsia"/>
        </w:rPr>
        <w:t>七、教學演示</w:t>
      </w:r>
    </w:p>
    <w:p w:rsidR="00FB2812" w:rsidRPr="0014651C" w:rsidRDefault="00ED0C63" w:rsidP="00E10F66">
      <w:pPr>
        <w:spacing w:line="340" w:lineRule="exact"/>
        <w:ind w:leftChars="236" w:left="849" w:hangingChars="118" w:hanging="283"/>
        <w:rPr>
          <w:rFonts w:ascii="標楷體" w:eastAsia="標楷體" w:hAnsi="標楷體"/>
        </w:rPr>
      </w:pPr>
      <w:r w:rsidRPr="0014651C">
        <w:rPr>
          <w:rFonts w:ascii="標楷體" w:eastAsia="標楷體" w:hAnsi="標楷體" w:hint="eastAsia"/>
        </w:rPr>
        <w:t>1.學程生於修業期間需參與三項教學演示，演示</w:t>
      </w:r>
      <w:r w:rsidR="00F658EB" w:rsidRPr="0014651C">
        <w:rPr>
          <w:rFonts w:ascii="標楷體" w:eastAsia="標楷體" w:hAnsi="標楷體" w:hint="eastAsia"/>
        </w:rPr>
        <w:t>項目</w:t>
      </w:r>
      <w:r w:rsidRPr="0014651C">
        <w:rPr>
          <w:rFonts w:ascii="標楷體" w:eastAsia="標楷體" w:hAnsi="標楷體" w:hint="eastAsia"/>
        </w:rPr>
        <w:t>分別為數學、國語、任教專長科目，</w:t>
      </w:r>
      <w:r w:rsidR="00FB2812" w:rsidRPr="0014651C">
        <w:rPr>
          <w:rFonts w:ascii="標楷體" w:eastAsia="標楷體" w:hAnsi="標楷體" w:hint="eastAsia"/>
        </w:rPr>
        <w:t>各項成績總平均需達70分始為及格，如成績不及格者，每項演示</w:t>
      </w:r>
      <w:proofErr w:type="gramStart"/>
      <w:r w:rsidR="00FB2812" w:rsidRPr="0014651C">
        <w:rPr>
          <w:rFonts w:ascii="標楷體" w:eastAsia="標楷體" w:hAnsi="標楷體" w:hint="eastAsia"/>
        </w:rPr>
        <w:t>可補測1次</w:t>
      </w:r>
      <w:proofErr w:type="gramEnd"/>
      <w:r w:rsidR="00FB2812" w:rsidRPr="0014651C">
        <w:rPr>
          <w:rFonts w:ascii="標楷體" w:eastAsia="標楷體" w:hAnsi="標楷體" w:hint="eastAsia"/>
        </w:rPr>
        <w:t>。</w:t>
      </w:r>
    </w:p>
    <w:p w:rsidR="00ED0C63" w:rsidRPr="0014651C" w:rsidRDefault="00FB2812" w:rsidP="00E10F66">
      <w:pPr>
        <w:spacing w:line="340" w:lineRule="exact"/>
        <w:ind w:leftChars="236" w:left="849" w:hangingChars="118" w:hanging="283"/>
        <w:rPr>
          <w:rFonts w:ascii="標楷體" w:eastAsia="標楷體" w:hAnsi="標楷體"/>
        </w:rPr>
      </w:pPr>
      <w:r w:rsidRPr="0014651C">
        <w:rPr>
          <w:rFonts w:ascii="標楷體" w:eastAsia="標楷體" w:hAnsi="標楷體"/>
        </w:rPr>
        <w:t>2.</w:t>
      </w:r>
      <w:r w:rsidRPr="0014651C">
        <w:rPr>
          <w:rFonts w:ascii="標楷體" w:eastAsia="標楷體" w:hAnsi="標楷體" w:hint="eastAsia"/>
        </w:rPr>
        <w:t>學程生於任何一項教學演示之</w:t>
      </w:r>
      <w:proofErr w:type="gramStart"/>
      <w:r w:rsidRPr="0014651C">
        <w:rPr>
          <w:rFonts w:ascii="標楷體" w:eastAsia="標楷體" w:hAnsi="標楷體" w:hint="eastAsia"/>
        </w:rPr>
        <w:t>補測仍</w:t>
      </w:r>
      <w:proofErr w:type="gramEnd"/>
      <w:r w:rsidRPr="0014651C">
        <w:rPr>
          <w:rFonts w:ascii="標楷體" w:eastAsia="標楷體" w:hAnsi="標楷體" w:hint="eastAsia"/>
        </w:rPr>
        <w:t>未通過者，將喪失公費受領及分發服務資格。</w:t>
      </w:r>
    </w:p>
    <w:p w:rsidR="00ED0C63" w:rsidRPr="0014651C" w:rsidRDefault="00ED0C63" w:rsidP="00E10F66">
      <w:pPr>
        <w:spacing w:line="340" w:lineRule="exact"/>
        <w:rPr>
          <w:rFonts w:ascii="標楷體" w:eastAsia="標楷體" w:hAnsi="標楷體"/>
        </w:rPr>
      </w:pPr>
      <w:r w:rsidRPr="0014651C">
        <w:rPr>
          <w:rFonts w:ascii="標楷體" w:eastAsia="標楷體" w:hAnsi="標楷體"/>
        </w:rPr>
        <w:t>八、</w:t>
      </w:r>
      <w:r w:rsidRPr="0014651C">
        <w:rPr>
          <w:rFonts w:ascii="標楷體" w:eastAsia="標楷體" w:hAnsi="標楷體" w:hint="eastAsia"/>
        </w:rPr>
        <w:t>教師專業知能檢測</w:t>
      </w:r>
    </w:p>
    <w:p w:rsidR="00ED0C63" w:rsidRPr="0014651C" w:rsidRDefault="00ED0C63" w:rsidP="00E10F66">
      <w:pPr>
        <w:spacing w:line="340" w:lineRule="exact"/>
        <w:ind w:leftChars="236" w:left="567" w:hanging="1"/>
        <w:rPr>
          <w:rFonts w:ascii="標楷體" w:eastAsia="標楷體" w:hAnsi="標楷體"/>
        </w:rPr>
      </w:pPr>
      <w:r w:rsidRPr="0014651C">
        <w:rPr>
          <w:rFonts w:ascii="標楷體" w:eastAsia="標楷體" w:hAnsi="標楷體" w:hint="eastAsia"/>
        </w:rPr>
        <w:t>學程生於修業期間需依學程規劃與課程要求全程參與教師專業知能檢測（含學習歷程檔案展示及口試、口語表達能力、板書及字音字形）。</w:t>
      </w:r>
    </w:p>
    <w:p w:rsidR="00ED0C63" w:rsidRPr="0014651C" w:rsidRDefault="00ED0C63" w:rsidP="00E10F66">
      <w:pPr>
        <w:spacing w:line="340" w:lineRule="exact"/>
        <w:rPr>
          <w:rFonts w:ascii="標楷體" w:eastAsia="標楷體" w:hAnsi="標楷體"/>
        </w:rPr>
      </w:pPr>
      <w:r w:rsidRPr="0014651C">
        <w:rPr>
          <w:rFonts w:ascii="標楷體" w:eastAsia="標楷體" w:hAnsi="標楷體" w:hint="eastAsia"/>
        </w:rPr>
        <w:t>九、教育專題講座</w:t>
      </w:r>
    </w:p>
    <w:p w:rsidR="00ED0C63" w:rsidRPr="0014651C" w:rsidRDefault="00ED0C63" w:rsidP="00E10F66">
      <w:pPr>
        <w:spacing w:line="340" w:lineRule="exact"/>
        <w:ind w:firstLineChars="236" w:firstLine="566"/>
        <w:rPr>
          <w:rFonts w:ascii="標楷體" w:eastAsia="標楷體" w:hAnsi="標楷體"/>
        </w:rPr>
      </w:pPr>
      <w:r w:rsidRPr="0014651C">
        <w:rPr>
          <w:rFonts w:ascii="標楷體" w:eastAsia="標楷體" w:hAnsi="標楷體" w:hint="eastAsia"/>
        </w:rPr>
        <w:t>學程生於修業期間需全程參加學程辦理之各項教育專題講座。</w:t>
      </w:r>
    </w:p>
    <w:p w:rsidR="00ED0C63" w:rsidRPr="0014651C" w:rsidRDefault="00ED0C63" w:rsidP="00E10F66">
      <w:pPr>
        <w:spacing w:line="340" w:lineRule="exact"/>
        <w:rPr>
          <w:rFonts w:ascii="標楷體" w:eastAsia="標楷體" w:hAnsi="標楷體"/>
        </w:rPr>
      </w:pPr>
      <w:r w:rsidRPr="0014651C">
        <w:rPr>
          <w:rFonts w:ascii="標楷體" w:eastAsia="標楷體" w:hAnsi="標楷體" w:hint="eastAsia"/>
        </w:rPr>
        <w:t>十、</w:t>
      </w:r>
      <w:proofErr w:type="gramStart"/>
      <w:r w:rsidRPr="0014651C">
        <w:rPr>
          <w:rFonts w:ascii="標楷體" w:eastAsia="標楷體" w:hAnsi="標楷體" w:hint="eastAsia"/>
        </w:rPr>
        <w:t>觀課試</w:t>
      </w:r>
      <w:proofErr w:type="gramEnd"/>
      <w:r w:rsidRPr="0014651C">
        <w:rPr>
          <w:rFonts w:ascii="標楷體" w:eastAsia="標楷體" w:hAnsi="標楷體" w:hint="eastAsia"/>
        </w:rPr>
        <w:t>教</w:t>
      </w:r>
    </w:p>
    <w:p w:rsidR="00ED0C63" w:rsidRPr="0014651C" w:rsidRDefault="00ED0C63" w:rsidP="00E10F66">
      <w:pPr>
        <w:spacing w:line="340" w:lineRule="exact"/>
        <w:ind w:leftChars="177" w:left="426" w:hanging="1"/>
        <w:rPr>
          <w:rFonts w:ascii="標楷體" w:eastAsia="標楷體" w:hAnsi="標楷體"/>
        </w:rPr>
      </w:pPr>
      <w:r w:rsidRPr="0014651C">
        <w:rPr>
          <w:rFonts w:ascii="標楷體" w:eastAsia="標楷體" w:hAnsi="標楷體" w:hint="eastAsia"/>
        </w:rPr>
        <w:t>學程生應配合學程規劃，定期前往國小教學</w:t>
      </w:r>
      <w:proofErr w:type="gramStart"/>
      <w:r w:rsidRPr="0014651C">
        <w:rPr>
          <w:rFonts w:ascii="標楷體" w:eastAsia="標楷體" w:hAnsi="標楷體" w:hint="eastAsia"/>
        </w:rPr>
        <w:t>現場觀課</w:t>
      </w:r>
      <w:proofErr w:type="gramEnd"/>
      <w:r w:rsidRPr="0014651C">
        <w:rPr>
          <w:rFonts w:ascii="標楷體" w:eastAsia="標楷體" w:hAnsi="標楷體" w:hint="eastAsia"/>
        </w:rPr>
        <w:t>、</w:t>
      </w:r>
      <w:proofErr w:type="gramStart"/>
      <w:r w:rsidRPr="0014651C">
        <w:rPr>
          <w:rFonts w:ascii="標楷體" w:eastAsia="標楷體" w:hAnsi="標楷體" w:hint="eastAsia"/>
        </w:rPr>
        <w:t>試教並與</w:t>
      </w:r>
      <w:proofErr w:type="gramEnd"/>
      <w:r w:rsidRPr="0014651C">
        <w:rPr>
          <w:rFonts w:ascii="標楷體" w:eastAsia="標楷體" w:hAnsi="標楷體" w:hint="eastAsia"/>
        </w:rPr>
        <w:t>實務教學輔導教師進行專業對話，完成要求時數，且完成</w:t>
      </w:r>
      <w:proofErr w:type="gramStart"/>
      <w:r w:rsidRPr="0014651C">
        <w:rPr>
          <w:rFonts w:ascii="標楷體" w:eastAsia="標楷體" w:hAnsi="標楷體" w:hint="eastAsia"/>
        </w:rPr>
        <w:t>觀課反</w:t>
      </w:r>
      <w:proofErr w:type="gramEnd"/>
      <w:r w:rsidRPr="0014651C">
        <w:rPr>
          <w:rFonts w:ascii="標楷體" w:eastAsia="標楷體" w:hAnsi="標楷體" w:hint="eastAsia"/>
        </w:rPr>
        <w:t>思記錄。</w:t>
      </w:r>
    </w:p>
    <w:p w:rsidR="00A90773" w:rsidRPr="0014651C" w:rsidRDefault="00BC2386" w:rsidP="00E10F66">
      <w:pPr>
        <w:spacing w:line="340" w:lineRule="exact"/>
        <w:rPr>
          <w:rFonts w:ascii="標楷體" w:eastAsia="標楷體" w:hAnsi="標楷體"/>
        </w:rPr>
      </w:pPr>
      <w:r w:rsidRPr="0014651C">
        <w:rPr>
          <w:rFonts w:ascii="標楷體" w:eastAsia="標楷體" w:hAnsi="標楷體" w:hint="eastAsia"/>
        </w:rPr>
        <w:t>十一、幼童軍</w:t>
      </w:r>
      <w:r w:rsidR="00A90773" w:rsidRPr="0014651C">
        <w:rPr>
          <w:rFonts w:ascii="標楷體" w:eastAsia="標楷體" w:hAnsi="標楷體" w:hint="eastAsia"/>
        </w:rPr>
        <w:t>基本訓練</w:t>
      </w:r>
    </w:p>
    <w:p w:rsidR="00A90773" w:rsidRPr="0014651C" w:rsidRDefault="00A90773" w:rsidP="00E10F66">
      <w:pPr>
        <w:spacing w:line="340" w:lineRule="exact"/>
        <w:rPr>
          <w:rFonts w:ascii="標楷體" w:eastAsia="標楷體" w:hAnsi="標楷體"/>
        </w:rPr>
      </w:pPr>
      <w:r w:rsidRPr="0014651C">
        <w:rPr>
          <w:rFonts w:ascii="標楷體" w:eastAsia="標楷體" w:hAnsi="標楷體" w:hint="eastAsia"/>
        </w:rPr>
        <w:t xml:space="preserve">    學程生於畢業前需參加</w:t>
      </w:r>
      <w:r w:rsidR="001B3332" w:rsidRPr="0014651C">
        <w:rPr>
          <w:rFonts w:ascii="標楷體" w:eastAsia="標楷體" w:hAnsi="標楷體" w:hint="eastAsia"/>
        </w:rPr>
        <w:t>本</w:t>
      </w:r>
      <w:r w:rsidR="00BC2386" w:rsidRPr="0014651C">
        <w:rPr>
          <w:rFonts w:ascii="標楷體" w:eastAsia="標楷體" w:hAnsi="標楷體" w:hint="eastAsia"/>
        </w:rPr>
        <w:t>學程主辦之幼童軍</w:t>
      </w:r>
      <w:r w:rsidRPr="0014651C">
        <w:rPr>
          <w:rFonts w:ascii="標楷體" w:eastAsia="標楷體" w:hAnsi="標楷體" w:hint="eastAsia"/>
        </w:rPr>
        <w:t>基本訓練，並取得結訓證書。</w:t>
      </w:r>
    </w:p>
    <w:p w:rsidR="00ED0C63" w:rsidRPr="0014651C" w:rsidRDefault="00ED0C63" w:rsidP="00E10F66">
      <w:pPr>
        <w:spacing w:line="340" w:lineRule="exact"/>
        <w:ind w:leftChars="-118" w:left="-283" w:firstLineChars="118" w:firstLine="283"/>
        <w:rPr>
          <w:rFonts w:ascii="標楷體" w:eastAsia="標楷體" w:hAnsi="標楷體"/>
        </w:rPr>
      </w:pPr>
      <w:r w:rsidRPr="0014651C">
        <w:rPr>
          <w:rFonts w:ascii="標楷體" w:eastAsia="標楷體" w:hAnsi="標楷體" w:hint="eastAsia"/>
        </w:rPr>
        <w:t>十</w:t>
      </w:r>
      <w:r w:rsidR="00A90773" w:rsidRPr="0014651C">
        <w:rPr>
          <w:rFonts w:ascii="標楷體" w:eastAsia="標楷體" w:hAnsi="標楷體" w:hint="eastAsia"/>
        </w:rPr>
        <w:t>二</w:t>
      </w:r>
      <w:r w:rsidRPr="0014651C">
        <w:rPr>
          <w:rFonts w:ascii="標楷體" w:eastAsia="標楷體" w:hAnsi="標楷體" w:hint="eastAsia"/>
        </w:rPr>
        <w:t>、本要點經學程事務會議及院</w:t>
      </w:r>
      <w:proofErr w:type="gramStart"/>
      <w:r w:rsidRPr="0014651C">
        <w:rPr>
          <w:rFonts w:ascii="標楷體" w:eastAsia="標楷體" w:hAnsi="標楷體" w:hint="eastAsia"/>
        </w:rPr>
        <w:t>務</w:t>
      </w:r>
      <w:proofErr w:type="gramEnd"/>
      <w:r w:rsidRPr="0014651C">
        <w:rPr>
          <w:rFonts w:ascii="標楷體" w:eastAsia="標楷體" w:hAnsi="標楷體" w:hint="eastAsia"/>
        </w:rPr>
        <w:t>會議通過後實施，修正時亦同。</w:t>
      </w:r>
    </w:p>
    <w:p w:rsidR="003C1A06" w:rsidRPr="0014651C" w:rsidRDefault="003C1A06" w:rsidP="00E10F66">
      <w:pPr>
        <w:spacing w:line="340" w:lineRule="exact"/>
        <w:ind w:leftChars="-118" w:left="-283" w:firstLineChars="118" w:firstLine="283"/>
        <w:rPr>
          <w:rFonts w:ascii="標楷體" w:eastAsia="標楷體" w:hAnsi="標楷體"/>
        </w:rPr>
      </w:pPr>
      <w:bookmarkStart w:id="2" w:name="_GoBack"/>
      <w:bookmarkEnd w:id="2"/>
    </w:p>
    <w:p w:rsidR="00522396" w:rsidRPr="0014651C" w:rsidRDefault="003C1A06" w:rsidP="00A90773">
      <w:pPr>
        <w:spacing w:line="260" w:lineRule="exact"/>
        <w:ind w:leftChars="-118" w:left="-283" w:firstLineChars="118" w:firstLine="283"/>
        <w:rPr>
          <w:rFonts w:ascii="標楷體" w:eastAsia="標楷體" w:hAnsi="標楷體"/>
        </w:rPr>
      </w:pPr>
      <w:r w:rsidRPr="0014651C">
        <w:rPr>
          <w:rFonts w:ascii="標楷體" w:eastAsia="標楷體" w:hAnsi="標楷體" w:hint="eastAsia"/>
        </w:rPr>
        <w:t>本要點權責單位為教師專業碩士學位學程，</w:t>
      </w:r>
    </w:p>
    <w:p w:rsidR="00522396" w:rsidRPr="0014651C" w:rsidRDefault="003C1A06" w:rsidP="00A90773">
      <w:pPr>
        <w:spacing w:line="260" w:lineRule="exact"/>
        <w:ind w:leftChars="-118" w:left="-283" w:firstLineChars="118" w:firstLine="283"/>
        <w:rPr>
          <w:rFonts w:ascii="標楷體" w:eastAsia="標楷體" w:hAnsi="標楷體"/>
        </w:rPr>
      </w:pPr>
      <w:r w:rsidRPr="0014651C">
        <w:rPr>
          <w:rFonts w:ascii="標楷體" w:eastAsia="標楷體" w:hAnsi="標楷體" w:hint="eastAsia"/>
        </w:rPr>
        <w:t>於11</w:t>
      </w:r>
      <w:r w:rsidR="00A90773" w:rsidRPr="0014651C">
        <w:rPr>
          <w:rFonts w:ascii="標楷體" w:eastAsia="標楷體" w:hAnsi="標楷體" w:hint="eastAsia"/>
        </w:rPr>
        <w:t>2</w:t>
      </w:r>
      <w:r w:rsidRPr="0014651C">
        <w:rPr>
          <w:rFonts w:ascii="標楷體" w:eastAsia="標楷體" w:hAnsi="標楷體" w:hint="eastAsia"/>
        </w:rPr>
        <w:t>年</w:t>
      </w:r>
      <w:r w:rsidR="00A90773" w:rsidRPr="0014651C">
        <w:rPr>
          <w:rFonts w:ascii="標楷體" w:eastAsia="標楷體" w:hAnsi="標楷體" w:hint="eastAsia"/>
        </w:rPr>
        <w:t>9</w:t>
      </w:r>
      <w:r w:rsidRPr="0014651C">
        <w:rPr>
          <w:rFonts w:ascii="標楷體" w:eastAsia="標楷體" w:hAnsi="標楷體" w:hint="eastAsia"/>
        </w:rPr>
        <w:t>月</w:t>
      </w:r>
      <w:r w:rsidR="00A90773" w:rsidRPr="0014651C">
        <w:rPr>
          <w:rFonts w:ascii="標楷體" w:eastAsia="標楷體" w:hAnsi="標楷體" w:hint="eastAsia"/>
        </w:rPr>
        <w:t>19</w:t>
      </w:r>
      <w:r w:rsidRPr="0014651C">
        <w:rPr>
          <w:rFonts w:ascii="標楷體" w:eastAsia="標楷體" w:hAnsi="標楷體" w:hint="eastAsia"/>
        </w:rPr>
        <w:t>日學程事務會議通過，</w:t>
      </w:r>
    </w:p>
    <w:p w:rsidR="00522396" w:rsidRPr="0014651C" w:rsidRDefault="003C1A06" w:rsidP="00A90773">
      <w:pPr>
        <w:spacing w:line="260" w:lineRule="exact"/>
        <w:ind w:leftChars="-118" w:left="-283" w:firstLineChars="118" w:firstLine="283"/>
        <w:rPr>
          <w:rFonts w:ascii="標楷體" w:eastAsia="標楷體" w:hAnsi="標楷體"/>
        </w:rPr>
      </w:pPr>
      <w:r w:rsidRPr="0014651C">
        <w:rPr>
          <w:rFonts w:ascii="標楷體" w:eastAsia="標楷體" w:hAnsi="標楷體" w:hint="eastAsia"/>
        </w:rPr>
        <w:t>由</w:t>
      </w:r>
      <w:r w:rsidR="006944B9" w:rsidRPr="0014651C">
        <w:rPr>
          <w:rFonts w:ascii="標楷體" w:eastAsia="標楷體" w:hAnsi="標楷體" w:hint="eastAsia"/>
        </w:rPr>
        <w:t>1</w:t>
      </w:r>
      <w:r w:rsidR="006944B9" w:rsidRPr="0014651C">
        <w:rPr>
          <w:rFonts w:ascii="標楷體" w:eastAsia="標楷體" w:hAnsi="標楷體"/>
        </w:rPr>
        <w:t>1</w:t>
      </w:r>
      <w:r w:rsidR="00A90773" w:rsidRPr="0014651C">
        <w:rPr>
          <w:rFonts w:ascii="標楷體" w:eastAsia="標楷體" w:hAnsi="標楷體" w:hint="eastAsia"/>
        </w:rPr>
        <w:t>3</w:t>
      </w:r>
      <w:r w:rsidRPr="0014651C">
        <w:rPr>
          <w:rFonts w:ascii="標楷體" w:eastAsia="標楷體" w:hAnsi="標楷體" w:hint="eastAsia"/>
        </w:rPr>
        <w:t>年</w:t>
      </w:r>
      <w:r w:rsidR="0014651C" w:rsidRPr="0014651C">
        <w:rPr>
          <w:rFonts w:ascii="標楷體" w:eastAsia="標楷體" w:hAnsi="標楷體" w:hint="eastAsia"/>
        </w:rPr>
        <w:t>6</w:t>
      </w:r>
      <w:r w:rsidRPr="0014651C">
        <w:rPr>
          <w:rFonts w:ascii="標楷體" w:eastAsia="標楷體" w:hAnsi="標楷體" w:hint="eastAsia"/>
        </w:rPr>
        <w:t>月</w:t>
      </w:r>
      <w:r w:rsidR="0014651C" w:rsidRPr="0014651C">
        <w:rPr>
          <w:rFonts w:ascii="標楷體" w:eastAsia="標楷體" w:hAnsi="標楷體" w:hint="eastAsia"/>
        </w:rPr>
        <w:t>28</w:t>
      </w:r>
      <w:r w:rsidRPr="0014651C">
        <w:rPr>
          <w:rFonts w:ascii="標楷體" w:eastAsia="標楷體" w:hAnsi="標楷體" w:hint="eastAsia"/>
        </w:rPr>
        <w:t>日校長核准，</w:t>
      </w:r>
    </w:p>
    <w:p w:rsidR="003C1A06" w:rsidRPr="0014651C" w:rsidRDefault="006944B9" w:rsidP="00A90773">
      <w:pPr>
        <w:spacing w:line="260" w:lineRule="exact"/>
        <w:ind w:leftChars="-118" w:left="-283" w:firstLineChars="118" w:firstLine="283"/>
        <w:rPr>
          <w:rFonts w:ascii="Batang" w:eastAsia="Batang" w:hAnsi="Batang"/>
        </w:rPr>
      </w:pPr>
      <w:r w:rsidRPr="0014651C">
        <w:rPr>
          <w:rFonts w:ascii="標楷體" w:eastAsia="標楷體" w:hAnsi="標楷體" w:hint="eastAsia"/>
        </w:rPr>
        <w:t>1</w:t>
      </w:r>
      <w:r w:rsidRPr="0014651C">
        <w:rPr>
          <w:rFonts w:ascii="標楷體" w:eastAsia="標楷體" w:hAnsi="標楷體"/>
        </w:rPr>
        <w:t>1</w:t>
      </w:r>
      <w:r w:rsidR="00A90773" w:rsidRPr="0014651C">
        <w:rPr>
          <w:rFonts w:ascii="標楷體" w:eastAsia="標楷體" w:hAnsi="標楷體" w:hint="eastAsia"/>
        </w:rPr>
        <w:t>3</w:t>
      </w:r>
      <w:r w:rsidR="003C1A06" w:rsidRPr="0014651C">
        <w:rPr>
          <w:rFonts w:ascii="標楷體" w:eastAsia="標楷體" w:hAnsi="標楷體" w:hint="eastAsia"/>
        </w:rPr>
        <w:t>年</w:t>
      </w:r>
      <w:r w:rsidR="0014651C" w:rsidRPr="0014651C">
        <w:rPr>
          <w:rFonts w:ascii="標楷體" w:eastAsia="標楷體" w:hAnsi="標楷體" w:hint="eastAsia"/>
        </w:rPr>
        <w:t>7</w:t>
      </w:r>
      <w:r w:rsidR="003C1A06" w:rsidRPr="0014651C">
        <w:rPr>
          <w:rFonts w:ascii="標楷體" w:eastAsia="標楷體" w:hAnsi="標楷體" w:hint="eastAsia"/>
        </w:rPr>
        <w:t>月</w:t>
      </w:r>
      <w:r w:rsidR="0014651C" w:rsidRPr="0014651C">
        <w:rPr>
          <w:rFonts w:ascii="標楷體" w:eastAsia="標楷體" w:hAnsi="標楷體" w:hint="eastAsia"/>
        </w:rPr>
        <w:t>4</w:t>
      </w:r>
      <w:r w:rsidR="003C1A06" w:rsidRPr="0014651C">
        <w:rPr>
          <w:rFonts w:ascii="標楷體" w:eastAsia="標楷體" w:hAnsi="標楷體" w:hint="eastAsia"/>
        </w:rPr>
        <w:t>日公告。</w:t>
      </w:r>
    </w:p>
    <w:p w:rsidR="00965038" w:rsidRPr="00965038" w:rsidRDefault="00965038" w:rsidP="00A90773">
      <w:pPr>
        <w:spacing w:line="260" w:lineRule="exact"/>
        <w:ind w:leftChars="-118" w:left="-283" w:firstLineChars="118" w:firstLine="283"/>
        <w:rPr>
          <w:rFonts w:ascii="Batang" w:eastAsiaTheme="minorEastAsia" w:hAnsi="Batang"/>
          <w:color w:val="FF0000"/>
        </w:rPr>
      </w:pPr>
    </w:p>
    <w:sectPr w:rsidR="00965038" w:rsidRPr="00965038" w:rsidSect="00A90773">
      <w:pgSz w:w="11906" w:h="16838"/>
      <w:pgMar w:top="709" w:right="849" w:bottom="284"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2C7" w:rsidRDefault="00A602C7" w:rsidP="00F658EB">
      <w:r>
        <w:separator/>
      </w:r>
    </w:p>
  </w:endnote>
  <w:endnote w:type="continuationSeparator" w:id="0">
    <w:p w:rsidR="00A602C7" w:rsidRDefault="00A602C7" w:rsidP="00F6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2C7" w:rsidRDefault="00A602C7" w:rsidP="00F658EB">
      <w:r>
        <w:separator/>
      </w:r>
    </w:p>
  </w:footnote>
  <w:footnote w:type="continuationSeparator" w:id="0">
    <w:p w:rsidR="00A602C7" w:rsidRDefault="00A602C7" w:rsidP="00F65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47F90"/>
    <w:multiLevelType w:val="hybridMultilevel"/>
    <w:tmpl w:val="DFA0BBFE"/>
    <w:lvl w:ilvl="0" w:tplc="3448348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C63"/>
    <w:rsid w:val="00011F52"/>
    <w:rsid w:val="000E1654"/>
    <w:rsid w:val="00117E65"/>
    <w:rsid w:val="0014651C"/>
    <w:rsid w:val="001B3332"/>
    <w:rsid w:val="00355792"/>
    <w:rsid w:val="0038055F"/>
    <w:rsid w:val="00383C3E"/>
    <w:rsid w:val="003C1A06"/>
    <w:rsid w:val="003F5681"/>
    <w:rsid w:val="00424F08"/>
    <w:rsid w:val="00457CDC"/>
    <w:rsid w:val="00522396"/>
    <w:rsid w:val="006944B9"/>
    <w:rsid w:val="00757FE4"/>
    <w:rsid w:val="00800D7A"/>
    <w:rsid w:val="00885111"/>
    <w:rsid w:val="00907169"/>
    <w:rsid w:val="00934502"/>
    <w:rsid w:val="00965038"/>
    <w:rsid w:val="00A602C7"/>
    <w:rsid w:val="00A90773"/>
    <w:rsid w:val="00BA1834"/>
    <w:rsid w:val="00BC2386"/>
    <w:rsid w:val="00D90B8D"/>
    <w:rsid w:val="00E10F66"/>
    <w:rsid w:val="00E74028"/>
    <w:rsid w:val="00ED0C63"/>
    <w:rsid w:val="00F15770"/>
    <w:rsid w:val="00F658EB"/>
    <w:rsid w:val="00FB28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63E19"/>
  <w15:docId w15:val="{2E72BFF8-0818-40BB-99D8-77E3B3C6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0C63"/>
    <w:pPr>
      <w:widowControl w:val="0"/>
    </w:pPr>
    <w:rPr>
      <w:rFonts w:ascii="Times New Roman" w:eastAsia="新細明體" w:hAnsi="Times New Roman" w:cs="Times New Roman"/>
      <w:szCs w:val="24"/>
    </w:rPr>
  </w:style>
  <w:style w:type="paragraph" w:styleId="2">
    <w:name w:val="heading 2"/>
    <w:basedOn w:val="a"/>
    <w:next w:val="a"/>
    <w:link w:val="20"/>
    <w:semiHidden/>
    <w:unhideWhenUsed/>
    <w:qFormat/>
    <w:rsid w:val="00ED0C63"/>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ED0C63"/>
    <w:rPr>
      <w:rFonts w:asciiTheme="majorHAnsi" w:eastAsiaTheme="majorEastAsia" w:hAnsiTheme="majorHAnsi" w:cstheme="majorBidi"/>
      <w:b/>
      <w:bCs/>
      <w:sz w:val="48"/>
      <w:szCs w:val="48"/>
    </w:rPr>
  </w:style>
  <w:style w:type="paragraph" w:styleId="a3">
    <w:name w:val="List Paragraph"/>
    <w:basedOn w:val="a"/>
    <w:uiPriority w:val="34"/>
    <w:qFormat/>
    <w:rsid w:val="00ED0C63"/>
    <w:pPr>
      <w:ind w:leftChars="200" w:left="480"/>
    </w:pPr>
  </w:style>
  <w:style w:type="paragraph" w:styleId="a4">
    <w:name w:val="header"/>
    <w:basedOn w:val="a"/>
    <w:link w:val="a5"/>
    <w:uiPriority w:val="99"/>
    <w:unhideWhenUsed/>
    <w:rsid w:val="00F658EB"/>
    <w:pPr>
      <w:tabs>
        <w:tab w:val="center" w:pos="4153"/>
        <w:tab w:val="right" w:pos="8306"/>
      </w:tabs>
      <w:snapToGrid w:val="0"/>
    </w:pPr>
    <w:rPr>
      <w:sz w:val="20"/>
      <w:szCs w:val="20"/>
    </w:rPr>
  </w:style>
  <w:style w:type="character" w:customStyle="1" w:styleId="a5">
    <w:name w:val="頁首 字元"/>
    <w:basedOn w:val="a0"/>
    <w:link w:val="a4"/>
    <w:uiPriority w:val="99"/>
    <w:rsid w:val="00F658EB"/>
    <w:rPr>
      <w:rFonts w:ascii="Times New Roman" w:eastAsia="新細明體" w:hAnsi="Times New Roman" w:cs="Times New Roman"/>
      <w:sz w:val="20"/>
      <w:szCs w:val="20"/>
    </w:rPr>
  </w:style>
  <w:style w:type="paragraph" w:styleId="a6">
    <w:name w:val="footer"/>
    <w:basedOn w:val="a"/>
    <w:link w:val="a7"/>
    <w:uiPriority w:val="99"/>
    <w:unhideWhenUsed/>
    <w:rsid w:val="00F658EB"/>
    <w:pPr>
      <w:tabs>
        <w:tab w:val="center" w:pos="4153"/>
        <w:tab w:val="right" w:pos="8306"/>
      </w:tabs>
      <w:snapToGrid w:val="0"/>
    </w:pPr>
    <w:rPr>
      <w:sz w:val="20"/>
      <w:szCs w:val="20"/>
    </w:rPr>
  </w:style>
  <w:style w:type="character" w:customStyle="1" w:styleId="a7">
    <w:name w:val="頁尾 字元"/>
    <w:basedOn w:val="a0"/>
    <w:link w:val="a6"/>
    <w:uiPriority w:val="99"/>
    <w:rsid w:val="00F658EB"/>
    <w:rPr>
      <w:rFonts w:ascii="Times New Roman" w:eastAsia="新細明體" w:hAnsi="Times New Roman" w:cs="Times New Roman"/>
      <w:sz w:val="20"/>
      <w:szCs w:val="20"/>
    </w:rPr>
  </w:style>
  <w:style w:type="paragraph" w:styleId="a8">
    <w:name w:val="Balloon Text"/>
    <w:basedOn w:val="a"/>
    <w:link w:val="a9"/>
    <w:uiPriority w:val="99"/>
    <w:semiHidden/>
    <w:unhideWhenUsed/>
    <w:rsid w:val="00FB281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B28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2</cp:revision>
  <cp:lastPrinted>2024-03-12T03:17:00Z</cp:lastPrinted>
  <dcterms:created xsi:type="dcterms:W3CDTF">2024-07-04T03:10:00Z</dcterms:created>
  <dcterms:modified xsi:type="dcterms:W3CDTF">2024-07-04T03:10:00Z</dcterms:modified>
</cp:coreProperties>
</file>