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31B2" w14:textId="25F24576" w:rsidR="00716667" w:rsidRPr="005F7081" w:rsidRDefault="00716667" w:rsidP="00716667">
      <w:pPr>
        <w:adjustRightInd w:val="0"/>
        <w:jc w:val="center"/>
        <w:textAlignment w:val="baseline"/>
        <w:rPr>
          <w:rFonts w:ascii="細明體" w:eastAsia="標楷體" w:hAnsi="Times New Roman" w:cs="Times New Roman"/>
          <w:kern w:val="0"/>
          <w:sz w:val="22"/>
          <w:szCs w:val="20"/>
        </w:rPr>
      </w:pPr>
      <w:r w:rsidRPr="005F7081">
        <w:rPr>
          <w:rFonts w:ascii="細明體" w:eastAsia="標楷體" w:hAnsi="Times New Roman" w:cs="Times New Roman" w:hint="eastAsia"/>
          <w:kern w:val="0"/>
          <w:sz w:val="32"/>
          <w:szCs w:val="20"/>
        </w:rPr>
        <w:t>國立臺中教育大學教師專業碩士學位學程事務會議設置要點</w:t>
      </w:r>
      <w:bookmarkStart w:id="0" w:name="_GoBack"/>
      <w:bookmarkEnd w:id="0"/>
    </w:p>
    <w:p w14:paraId="762E3694" w14:textId="77777777" w:rsidR="00716667" w:rsidRPr="005F7081" w:rsidRDefault="00716667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Times New Roman" w:cs="Times New Roman"/>
          <w:kern w:val="0"/>
          <w:sz w:val="20"/>
          <w:szCs w:val="20"/>
        </w:rPr>
      </w:pP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101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年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11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月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20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日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101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學年度第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學期第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2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次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學程會議通過</w:t>
      </w:r>
    </w:p>
    <w:p w14:paraId="65F0BF74" w14:textId="77777777" w:rsidR="00716667" w:rsidRPr="005F7081" w:rsidRDefault="00716667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Times New Roman" w:cs="Times New Roman"/>
          <w:kern w:val="0"/>
          <w:sz w:val="20"/>
          <w:szCs w:val="20"/>
        </w:rPr>
      </w:pP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102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年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10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月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02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日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102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學年度第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學期第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2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次學程會議修訂</w:t>
      </w:r>
    </w:p>
    <w:p w14:paraId="5FEDB05D" w14:textId="77777777" w:rsidR="00716667" w:rsidRPr="005F7081" w:rsidRDefault="00716667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標楷體" w:cs="Times New Roman"/>
          <w:kern w:val="0"/>
          <w:sz w:val="20"/>
          <w:szCs w:val="20"/>
        </w:rPr>
      </w:pP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103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年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12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月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17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日</w:t>
      </w:r>
      <w:r w:rsidRPr="005F7081">
        <w:rPr>
          <w:rFonts w:ascii="細明體" w:eastAsia="標楷體" w:hAnsi="Times New Roman" w:cs="Times New Roman"/>
          <w:kern w:val="0"/>
          <w:sz w:val="20"/>
          <w:szCs w:val="20"/>
        </w:rPr>
        <w:t>10</w:t>
      </w:r>
      <w:r w:rsidRPr="005F7081">
        <w:rPr>
          <w:rFonts w:ascii="細明體" w:eastAsia="標楷體" w:hAnsi="Times New Roman" w:cs="Times New Roman" w:hint="eastAsia"/>
          <w:kern w:val="0"/>
          <w:sz w:val="20"/>
          <w:szCs w:val="20"/>
        </w:rPr>
        <w:t>3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學年度第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學期第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次學程會議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修正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通過</w:t>
      </w:r>
    </w:p>
    <w:p w14:paraId="3C93B6DA" w14:textId="77777777" w:rsidR="00716667" w:rsidRPr="005F7081" w:rsidRDefault="00716667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標楷體" w:cs="Times New Roman"/>
          <w:kern w:val="0"/>
          <w:sz w:val="20"/>
          <w:szCs w:val="20"/>
        </w:rPr>
      </w:pP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104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年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02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月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25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日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103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學年度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2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學期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次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院</w:t>
      </w:r>
      <w:proofErr w:type="gramStart"/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務</w:t>
      </w:r>
      <w:proofErr w:type="gramEnd"/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會議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修正通過</w:t>
      </w:r>
    </w:p>
    <w:p w14:paraId="09DAA596" w14:textId="77777777" w:rsidR="00716667" w:rsidRDefault="00716667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標楷體" w:cs="Times New Roman"/>
          <w:kern w:val="0"/>
          <w:sz w:val="20"/>
          <w:szCs w:val="20"/>
        </w:rPr>
      </w:pP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106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年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10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月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31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日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106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學年度第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學期第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次學程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事務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會議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修正</w:t>
      </w:r>
    </w:p>
    <w:p w14:paraId="240F1D8C" w14:textId="77777777" w:rsidR="00F12F71" w:rsidRPr="005F7081" w:rsidRDefault="00F12F71" w:rsidP="00716667">
      <w:pPr>
        <w:adjustRightInd w:val="0"/>
        <w:spacing w:line="300" w:lineRule="exact"/>
        <w:ind w:left="482"/>
        <w:jc w:val="right"/>
        <w:textAlignment w:val="baseline"/>
        <w:rPr>
          <w:rFonts w:ascii="細明體" w:eastAsia="標楷體" w:hAnsi="標楷體" w:cs="Times New Roman"/>
          <w:kern w:val="0"/>
          <w:sz w:val="20"/>
          <w:szCs w:val="20"/>
        </w:rPr>
      </w:pP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>
        <w:rPr>
          <w:rFonts w:ascii="細明體" w:eastAsia="標楷體" w:hAnsi="標楷體" w:cs="Times New Roman"/>
          <w:kern w:val="0"/>
          <w:sz w:val="20"/>
          <w:szCs w:val="20"/>
        </w:rPr>
        <w:t>14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年</w:t>
      </w:r>
      <w:r w:rsidR="00D2756C">
        <w:rPr>
          <w:rFonts w:ascii="細明體" w:eastAsia="標楷體" w:hAnsi="標楷體" w:cs="Times New Roman" w:hint="eastAsia"/>
          <w:kern w:val="0"/>
          <w:sz w:val="20"/>
          <w:szCs w:val="20"/>
        </w:rPr>
        <w:t>9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月</w:t>
      </w:r>
      <w:r w:rsidR="00D2756C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="00D2756C">
        <w:rPr>
          <w:rFonts w:ascii="細明體" w:eastAsia="標楷體" w:hAnsi="標楷體" w:cs="Times New Roman"/>
          <w:kern w:val="0"/>
          <w:sz w:val="20"/>
          <w:szCs w:val="20"/>
        </w:rPr>
        <w:t>9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日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>
        <w:rPr>
          <w:rFonts w:ascii="細明體" w:eastAsia="標楷體" w:hAnsi="標楷體" w:cs="Times New Roman"/>
          <w:kern w:val="0"/>
          <w:sz w:val="20"/>
          <w:szCs w:val="20"/>
        </w:rPr>
        <w:t>14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學年度第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1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學期第</w:t>
      </w:r>
      <w:r w:rsidR="00D2756C">
        <w:rPr>
          <w:rFonts w:ascii="細明體" w:eastAsia="標楷體" w:hAnsi="標楷體" w:cs="Times New Roman" w:hint="eastAsia"/>
          <w:kern w:val="0"/>
          <w:sz w:val="20"/>
          <w:szCs w:val="20"/>
        </w:rPr>
        <w:t>2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次學程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事務</w:t>
      </w:r>
      <w:r w:rsidRPr="005F7081">
        <w:rPr>
          <w:rFonts w:ascii="細明體" w:eastAsia="標楷體" w:hAnsi="標楷體" w:cs="Times New Roman"/>
          <w:kern w:val="0"/>
          <w:sz w:val="20"/>
          <w:szCs w:val="20"/>
        </w:rPr>
        <w:t>會議</w:t>
      </w:r>
      <w:r w:rsidRPr="005F7081">
        <w:rPr>
          <w:rFonts w:ascii="細明體" w:eastAsia="標楷體" w:hAnsi="標楷體" w:cs="Times New Roman" w:hint="eastAsia"/>
          <w:kern w:val="0"/>
          <w:sz w:val="20"/>
          <w:szCs w:val="20"/>
        </w:rPr>
        <w:t>修正</w:t>
      </w:r>
    </w:p>
    <w:p w14:paraId="72ED4438" w14:textId="77777777" w:rsidR="00716667" w:rsidRPr="005F7081" w:rsidRDefault="00F12F71" w:rsidP="009D0E47">
      <w:pPr>
        <w:widowControl/>
        <w:spacing w:beforeLines="50" w:before="180" w:line="36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Times New Roman" w:eastAsia="標楷體" w:hAnsi="Times New Roman" w:cs="Times New Roman" w:hint="eastAsia"/>
          <w:b/>
          <w:szCs w:val="24"/>
          <w:u w:val="single"/>
        </w:rPr>
        <w:t>一、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國立</w:t>
      </w:r>
      <w:proofErr w:type="gramStart"/>
      <w:r w:rsidR="00716667" w:rsidRPr="005F7081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716667" w:rsidRPr="005F7081">
        <w:rPr>
          <w:rFonts w:ascii="Times New Roman" w:eastAsia="標楷體" w:hAnsi="Times New Roman" w:cs="Times New Roman" w:hint="eastAsia"/>
          <w:szCs w:val="24"/>
        </w:rPr>
        <w:t>中教育大學教師專業碩士學位學程（以下簡稱本學程）</w:t>
      </w:r>
      <w:r w:rsidRPr="00F12F71">
        <w:rPr>
          <w:rFonts w:ascii="Times New Roman" w:eastAsia="標楷體" w:hAnsi="Times New Roman" w:cs="Times New Roman" w:hint="eastAsia"/>
          <w:b/>
          <w:szCs w:val="24"/>
          <w:u w:val="single"/>
        </w:rPr>
        <w:t>為</w:t>
      </w:r>
      <w:proofErr w:type="gramStart"/>
      <w:r w:rsidR="00B91EB3" w:rsidRPr="00D2756C">
        <w:rPr>
          <w:rFonts w:ascii="Times New Roman" w:eastAsia="標楷體" w:hAnsi="Times New Roman" w:cs="Times New Roman" w:hint="eastAsia"/>
          <w:b/>
          <w:szCs w:val="24"/>
          <w:u w:val="single"/>
        </w:rPr>
        <w:t>研議</w:t>
      </w:r>
      <w:proofErr w:type="gramEnd"/>
      <w:r w:rsidRPr="00F12F71">
        <w:rPr>
          <w:rFonts w:ascii="Times New Roman" w:eastAsia="標楷體" w:hAnsi="Times New Roman" w:cs="Times New Roman" w:hint="eastAsia"/>
          <w:b/>
          <w:szCs w:val="24"/>
          <w:u w:val="single"/>
        </w:rPr>
        <w:t>本學程教學、研究、推廣及其他有關學位學程事務，依照本校組織規程第十七條規定，特訂定</w:t>
      </w:r>
      <w:r>
        <w:rPr>
          <w:rFonts w:ascii="Times New Roman" w:eastAsia="標楷體" w:hAnsi="Times New Roman" w:cs="Times New Roman" w:hint="eastAsia"/>
          <w:szCs w:val="24"/>
        </w:rPr>
        <w:t>本學程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事務會議設置要點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(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以下簡稱本要點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)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。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135F19AC" w14:textId="77777777" w:rsidR="00716667" w:rsidRPr="005F7081" w:rsidRDefault="00F12F71" w:rsidP="009D0E47">
      <w:pPr>
        <w:widowControl/>
        <w:spacing w:beforeLines="50" w:before="180" w:line="360" w:lineRule="exact"/>
        <w:ind w:leftChars="8" w:left="425" w:hangingChars="169" w:hanging="406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Times New Roman" w:eastAsia="標楷體" w:hAnsi="Times New Roman" w:cs="Times New Roman" w:hint="eastAsia"/>
          <w:b/>
          <w:szCs w:val="24"/>
          <w:u w:val="single"/>
        </w:rPr>
        <w:t>二、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本學程事務會議由學程主任</w:t>
      </w:r>
      <w:r w:rsidR="00716667" w:rsidRPr="005F7081">
        <w:rPr>
          <w:rFonts w:ascii="Times New Roman" w:eastAsia="標楷體" w:hAnsi="Times New Roman" w:cs="Times New Roman"/>
          <w:szCs w:val="24"/>
        </w:rPr>
        <w:t>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師資培育暨就業輔導處處長、學程導師及學生</w:t>
      </w:r>
      <w:r w:rsidR="00382AEF" w:rsidRPr="005F7081">
        <w:rPr>
          <w:rFonts w:ascii="Times New Roman" w:eastAsia="標楷體" w:hAnsi="Times New Roman" w:cs="Times New Roman" w:hint="eastAsia"/>
          <w:szCs w:val="24"/>
        </w:rPr>
        <w:t>委員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二人為當然委員，聘任</w:t>
      </w:r>
      <w:r w:rsidR="00382AEF" w:rsidRPr="005F7081">
        <w:rPr>
          <w:rFonts w:ascii="Times New Roman" w:eastAsia="標楷體" w:hAnsi="Times New Roman" w:cs="Times New Roman" w:hint="eastAsia"/>
          <w:szCs w:val="24"/>
        </w:rPr>
        <w:t>委員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由本學程主任</w:t>
      </w:r>
      <w:proofErr w:type="gramStart"/>
      <w:r w:rsidR="00716667" w:rsidRPr="005F7081">
        <w:rPr>
          <w:rFonts w:ascii="Times New Roman" w:eastAsia="標楷體" w:hAnsi="Times New Roman" w:cs="Times New Roman" w:hint="eastAsia"/>
          <w:szCs w:val="24"/>
        </w:rPr>
        <w:t>敦聘校</w:t>
      </w:r>
      <w:proofErr w:type="gramEnd"/>
      <w:r w:rsidR="00716667" w:rsidRPr="005F7081">
        <w:rPr>
          <w:rFonts w:ascii="Times New Roman" w:eastAsia="標楷體" w:hAnsi="Times New Roman" w:cs="Times New Roman" w:hint="eastAsia"/>
          <w:szCs w:val="24"/>
        </w:rPr>
        <w:t>內外專家學者，報請校長聘兼之。</w:t>
      </w:r>
    </w:p>
    <w:p w14:paraId="4268A2BE" w14:textId="0CF06477" w:rsidR="00716667" w:rsidRPr="005F7081" w:rsidRDefault="00F12F71" w:rsidP="009D0E47">
      <w:pPr>
        <w:widowControl/>
        <w:spacing w:beforeLines="50" w:before="180" w:line="36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Times New Roman" w:eastAsia="標楷體" w:hAnsi="Times New Roman" w:cs="Times New Roman" w:hint="eastAsia"/>
          <w:b/>
          <w:szCs w:val="24"/>
          <w:u w:val="single"/>
        </w:rPr>
        <w:t>三、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本學程事務會議</w:t>
      </w:r>
      <w:r w:rsidR="00382AEF" w:rsidRPr="005F7081">
        <w:rPr>
          <w:rFonts w:ascii="Times New Roman" w:eastAsia="標楷體" w:hAnsi="Times New Roman" w:cs="Times New Roman" w:hint="eastAsia"/>
          <w:szCs w:val="24"/>
        </w:rPr>
        <w:t>委員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任期一年，期滿得續聘。</w:t>
      </w:r>
      <w:r w:rsidR="00AB3428"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委員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出缺時，繼任</w:t>
      </w:r>
      <w:r w:rsidR="00AB3428"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委員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之任期至原任期屆滿為止。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 xml:space="preserve">        </w:t>
      </w:r>
    </w:p>
    <w:p w14:paraId="433822E6" w14:textId="773330AC" w:rsidR="00716667" w:rsidRPr="005F7081" w:rsidRDefault="00F12F71" w:rsidP="00FD61D4">
      <w:pPr>
        <w:autoSpaceDE w:val="0"/>
        <w:autoSpaceDN w:val="0"/>
        <w:adjustRightInd w:val="0"/>
        <w:spacing w:beforeLines="50" w:before="180" w:line="36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Times New Roman" w:eastAsia="標楷體" w:hAnsi="Times New Roman" w:cs="Times New Roman" w:hint="eastAsia"/>
          <w:b/>
          <w:szCs w:val="24"/>
          <w:u w:val="single"/>
        </w:rPr>
        <w:t>四、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本學程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事務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會議召開時，</w:t>
      </w:r>
      <w:r w:rsidR="00FD61D4"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學程主任為會議主席</w:t>
      </w:r>
      <w:r w:rsidR="000A3707"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，</w:t>
      </w:r>
      <w:r w:rsidR="00FD61D4"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必要時得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邀請相關人員列席。</w:t>
      </w:r>
    </w:p>
    <w:p w14:paraId="5B9F9D28" w14:textId="77777777" w:rsidR="00716667" w:rsidRPr="005F7081" w:rsidRDefault="00F12F71" w:rsidP="009D0E47">
      <w:pPr>
        <w:autoSpaceDE w:val="0"/>
        <w:autoSpaceDN w:val="0"/>
        <w:adjustRightInd w:val="0"/>
        <w:spacing w:beforeLines="50" w:before="180" w:line="360" w:lineRule="exact"/>
        <w:jc w:val="both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Times New Roman" w:eastAsia="標楷體" w:hAnsi="Times New Roman" w:cs="Times New Roman" w:hint="eastAsia"/>
          <w:b/>
          <w:szCs w:val="24"/>
          <w:u w:val="single"/>
        </w:rPr>
        <w:t>五、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本學程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事務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會議審議下列事項</w:t>
      </w:r>
    </w:p>
    <w:p w14:paraId="155CEBF0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學程發展計畫事項。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28D418F3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學程評鑑自評工作事項。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6BCDF60B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學程各項重要規則之訂定與修正。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5765070B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學程課程、教學、學生事務</w:t>
      </w:r>
      <w:r w:rsidRPr="00A83CED">
        <w:rPr>
          <w:rFonts w:ascii="Times New Roman" w:eastAsia="標楷體" w:hAnsi="Times New Roman" w:cs="Times New Roman" w:hint="eastAsia"/>
          <w:bCs/>
          <w:szCs w:val="24"/>
        </w:rPr>
        <w:t>及</w:t>
      </w:r>
      <w:r w:rsidRPr="005F7081">
        <w:rPr>
          <w:rFonts w:ascii="Times New Roman" w:eastAsia="標楷體" w:hAnsi="Times New Roman" w:cs="Times New Roman" w:hint="eastAsia"/>
          <w:szCs w:val="24"/>
        </w:rPr>
        <w:t>研究等事項。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59CC255C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學程各項經費之分配與運用。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07C217A3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各委員會之設置及其組織與權責、決議之事項。</w:t>
      </w:r>
      <w:r w:rsidRPr="005F7081">
        <w:rPr>
          <w:rFonts w:ascii="Times New Roman" w:eastAsia="標楷體" w:hAnsi="Times New Roman" w:cs="Times New Roman"/>
          <w:szCs w:val="24"/>
        </w:rPr>
        <w:t xml:space="preserve"> </w:t>
      </w:r>
    </w:p>
    <w:p w14:paraId="3C117A31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學程實驗成果報告。</w:t>
      </w:r>
    </w:p>
    <w:p w14:paraId="05898990" w14:textId="77777777" w:rsidR="00716667" w:rsidRPr="005F7081" w:rsidRDefault="00716667" w:rsidP="009D0E47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320" w:lineRule="exact"/>
        <w:ind w:left="1701"/>
        <w:jc w:val="both"/>
        <w:rPr>
          <w:rFonts w:ascii="Times New Roman" w:eastAsia="標楷體" w:hAnsi="Times New Roman" w:cs="Times New Roman"/>
          <w:szCs w:val="24"/>
        </w:rPr>
      </w:pPr>
      <w:r w:rsidRPr="005F7081">
        <w:rPr>
          <w:rFonts w:ascii="Times New Roman" w:eastAsia="標楷體" w:hAnsi="Times New Roman" w:cs="Times New Roman" w:hint="eastAsia"/>
          <w:szCs w:val="24"/>
        </w:rPr>
        <w:t>其他有關事項及各項決議案之執行情形等。</w:t>
      </w:r>
    </w:p>
    <w:p w14:paraId="086F1209" w14:textId="67B08765" w:rsidR="00716667" w:rsidRPr="00AB3428" w:rsidRDefault="00F12F71" w:rsidP="0004604C">
      <w:pPr>
        <w:autoSpaceDE w:val="0"/>
        <w:autoSpaceDN w:val="0"/>
        <w:adjustRightInd w:val="0"/>
        <w:spacing w:beforeLines="50" w:before="180" w:line="360" w:lineRule="exact"/>
        <w:ind w:leftChars="8" w:left="567" w:hangingChars="228" w:hanging="548"/>
        <w:rPr>
          <w:rFonts w:ascii="Times New Roman" w:eastAsia="標楷體" w:hAnsi="Times New Roman" w:cs="Times New Roman"/>
          <w:szCs w:val="24"/>
        </w:rPr>
      </w:pPr>
      <w:r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六、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本學程</w:t>
      </w:r>
      <w:r w:rsidR="00716667" w:rsidRPr="00AB3428">
        <w:rPr>
          <w:rFonts w:ascii="標楷體" w:eastAsia="標楷體" w:hAnsi="Times New Roman" w:cs="標楷體" w:hint="eastAsia"/>
          <w:kern w:val="0"/>
          <w:szCs w:val="24"/>
        </w:rPr>
        <w:t>事務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會議之召開，每學期至少一次；如有二分之一以上</w:t>
      </w:r>
      <w:r w:rsidR="00382AEF" w:rsidRPr="00AB3428">
        <w:rPr>
          <w:rFonts w:ascii="Times New Roman" w:eastAsia="標楷體" w:hAnsi="Times New Roman" w:cs="Times New Roman" w:hint="eastAsia"/>
          <w:szCs w:val="24"/>
        </w:rPr>
        <w:t>委員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連署提議，召集</w:t>
      </w:r>
      <w:r w:rsidR="0004604C" w:rsidRPr="00AB342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人應在兩</w:t>
      </w:r>
      <w:proofErr w:type="gramStart"/>
      <w:r w:rsidR="00716667" w:rsidRPr="00AB3428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="00716667" w:rsidRPr="00AB3428">
        <w:rPr>
          <w:rFonts w:ascii="Times New Roman" w:eastAsia="標楷體" w:hAnsi="Times New Roman" w:cs="Times New Roman" w:hint="eastAsia"/>
          <w:szCs w:val="24"/>
        </w:rPr>
        <w:t>內召開臨時會議。</w:t>
      </w:r>
    </w:p>
    <w:p w14:paraId="2813AA01" w14:textId="543243F2" w:rsidR="00716667" w:rsidRPr="00AB3428" w:rsidRDefault="009D0E47" w:rsidP="0004604C">
      <w:pPr>
        <w:widowControl/>
        <w:autoSpaceDE w:val="0"/>
        <w:autoSpaceDN w:val="0"/>
        <w:adjustRightInd w:val="0"/>
        <w:spacing w:beforeLines="50" w:before="180" w:line="360" w:lineRule="exact"/>
        <w:ind w:left="567" w:hangingChars="236" w:hanging="567"/>
        <w:rPr>
          <w:rFonts w:ascii="Times New Roman" w:eastAsia="標楷體" w:hAnsi="Times New Roman" w:cs="Times New Roman"/>
          <w:szCs w:val="24"/>
        </w:rPr>
      </w:pPr>
      <w:r w:rsidRPr="00AB3428">
        <w:rPr>
          <w:rFonts w:ascii="Times New Roman" w:eastAsia="標楷體" w:hAnsi="Times New Roman" w:cs="Times New Roman" w:hint="eastAsia"/>
          <w:b/>
          <w:szCs w:val="24"/>
          <w:u w:val="single"/>
        </w:rPr>
        <w:t>七、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本學程</w:t>
      </w:r>
      <w:r w:rsidR="00716667" w:rsidRPr="00AB3428">
        <w:rPr>
          <w:rFonts w:ascii="標楷體" w:eastAsia="標楷體" w:hAnsi="Times New Roman" w:cs="標楷體" w:hint="eastAsia"/>
          <w:kern w:val="0"/>
          <w:szCs w:val="24"/>
        </w:rPr>
        <w:t>事務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會議應有全體</w:t>
      </w:r>
      <w:r w:rsidR="00382AEF" w:rsidRPr="00AB3428">
        <w:rPr>
          <w:rFonts w:ascii="Times New Roman" w:eastAsia="標楷體" w:hAnsi="Times New Roman" w:cs="Times New Roman" w:hint="eastAsia"/>
          <w:szCs w:val="24"/>
        </w:rPr>
        <w:t>委員</w:t>
      </w:r>
      <w:r w:rsidR="00716667" w:rsidRPr="00AB3428">
        <w:rPr>
          <w:rFonts w:ascii="Times New Roman" w:eastAsia="標楷體" w:hAnsi="Times New Roman" w:cs="Times New Roman" w:hint="eastAsia"/>
          <w:szCs w:val="24"/>
        </w:rPr>
        <w:t>人員二分之一以上出席始得開會，出席人員二分之一以上同意始得決議。</w:t>
      </w:r>
    </w:p>
    <w:p w14:paraId="156DADD3" w14:textId="77777777" w:rsidR="00716667" w:rsidRPr="005F7081" w:rsidRDefault="009D0E47" w:rsidP="009D0E47">
      <w:pPr>
        <w:widowControl/>
        <w:autoSpaceDE w:val="0"/>
        <w:autoSpaceDN w:val="0"/>
        <w:adjustRightInd w:val="0"/>
        <w:spacing w:beforeLines="50" w:before="180" w:line="360" w:lineRule="exact"/>
        <w:rPr>
          <w:rFonts w:ascii="Times New Roman" w:eastAsia="標楷體" w:hAnsi="Times New Roman" w:cs="Times New Roman"/>
          <w:szCs w:val="24"/>
        </w:rPr>
      </w:pPr>
      <w:r w:rsidRPr="008F23AA">
        <w:rPr>
          <w:rFonts w:ascii="標楷體" w:eastAsia="標楷體" w:hAnsi="Times New Roman" w:cs="標楷體" w:hint="eastAsia"/>
          <w:b/>
          <w:kern w:val="0"/>
          <w:szCs w:val="24"/>
          <w:u w:val="single"/>
        </w:rPr>
        <w:t>八、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本</w:t>
      </w:r>
      <w:r w:rsidR="00382AEF" w:rsidRPr="005F7081">
        <w:rPr>
          <w:rFonts w:ascii="標楷體" w:eastAsia="標楷體" w:hAnsi="Times New Roman" w:cs="標楷體" w:hint="eastAsia"/>
          <w:kern w:val="0"/>
          <w:szCs w:val="24"/>
        </w:rPr>
        <w:t>要點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經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學程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事務</w:t>
      </w:r>
      <w:r w:rsidR="00716667" w:rsidRPr="005F7081">
        <w:rPr>
          <w:rFonts w:ascii="Times New Roman" w:eastAsia="標楷體" w:hAnsi="Times New Roman" w:cs="Times New Roman" w:hint="eastAsia"/>
          <w:szCs w:val="24"/>
        </w:rPr>
        <w:t>會議</w:t>
      </w:r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通過，並經院</w:t>
      </w:r>
      <w:proofErr w:type="gramStart"/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務</w:t>
      </w:r>
      <w:proofErr w:type="gramEnd"/>
      <w:r w:rsidR="00716667" w:rsidRPr="005F7081">
        <w:rPr>
          <w:rFonts w:ascii="標楷體" w:eastAsia="標楷體" w:hAnsi="Times New Roman" w:cs="標楷體" w:hint="eastAsia"/>
          <w:kern w:val="0"/>
          <w:szCs w:val="24"/>
        </w:rPr>
        <w:t>會議備查後實施，修正時亦同。</w:t>
      </w:r>
    </w:p>
    <w:p w14:paraId="2BB239BE" w14:textId="77777777" w:rsidR="009D0E47" w:rsidRDefault="009D0E47" w:rsidP="009D0E47">
      <w:pPr>
        <w:widowControl/>
        <w:spacing w:line="300" w:lineRule="exact"/>
        <w:ind w:firstLineChars="236" w:firstLine="472"/>
        <w:rPr>
          <w:rFonts w:ascii="Times New Roman" w:eastAsia="標楷體" w:hAnsi="Times New Roman" w:cs="Times New Roman"/>
          <w:sz w:val="20"/>
          <w:szCs w:val="20"/>
        </w:rPr>
      </w:pPr>
    </w:p>
    <w:p w14:paraId="6F5DE970" w14:textId="77777777" w:rsidR="00382AEF" w:rsidRPr="005F7081" w:rsidRDefault="00382AEF" w:rsidP="009D0E47">
      <w:pPr>
        <w:widowControl/>
        <w:spacing w:line="300" w:lineRule="exact"/>
        <w:ind w:firstLineChars="236" w:firstLine="472"/>
        <w:rPr>
          <w:rFonts w:ascii="Times New Roman" w:eastAsia="標楷體" w:hAnsi="Times New Roman" w:cs="Times New Roman"/>
          <w:sz w:val="20"/>
          <w:szCs w:val="20"/>
        </w:rPr>
      </w:pP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本要點權責單位為教師專業碩士學位學程，</w:t>
      </w:r>
    </w:p>
    <w:p w14:paraId="00D16F78" w14:textId="77777777" w:rsidR="00382AEF" w:rsidRPr="005F7081" w:rsidRDefault="00382AEF" w:rsidP="009D0E47">
      <w:pPr>
        <w:widowControl/>
        <w:spacing w:line="300" w:lineRule="exact"/>
        <w:ind w:firstLineChars="236" w:firstLine="472"/>
        <w:rPr>
          <w:rFonts w:ascii="Times New Roman" w:eastAsia="標楷體" w:hAnsi="Times New Roman" w:cs="Times New Roman"/>
          <w:sz w:val="20"/>
          <w:szCs w:val="20"/>
        </w:rPr>
      </w:pP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於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9D0E47">
        <w:rPr>
          <w:rFonts w:ascii="Times New Roman" w:eastAsia="標楷體" w:hAnsi="Times New Roman" w:cs="Times New Roman"/>
          <w:sz w:val="20"/>
          <w:szCs w:val="20"/>
        </w:rPr>
        <w:t>14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D2756C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D2756C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D2756C">
        <w:rPr>
          <w:rFonts w:ascii="Times New Roman" w:eastAsia="標楷體" w:hAnsi="Times New Roman" w:cs="Times New Roman"/>
          <w:sz w:val="20"/>
          <w:szCs w:val="20"/>
        </w:rPr>
        <w:t>9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日學程事務會議通過，</w:t>
      </w:r>
    </w:p>
    <w:p w14:paraId="7DADF2C8" w14:textId="0BB12558" w:rsidR="00225FFA" w:rsidRDefault="00911F91" w:rsidP="009D0E47">
      <w:pPr>
        <w:widowControl/>
        <w:spacing w:line="300" w:lineRule="exact"/>
        <w:ind w:firstLineChars="236" w:firstLine="472"/>
      </w:pP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9D0E47">
        <w:rPr>
          <w:rFonts w:ascii="Times New Roman" w:eastAsia="標楷體" w:hAnsi="Times New Roman" w:cs="Times New Roman"/>
          <w:sz w:val="20"/>
          <w:szCs w:val="20"/>
        </w:rPr>
        <w:t>14</w:t>
      </w:r>
      <w:r w:rsidR="00382AEF" w:rsidRPr="005F708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CE673E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="00382AEF" w:rsidRPr="005F708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CE673E">
        <w:rPr>
          <w:rFonts w:ascii="Times New Roman" w:eastAsia="標楷體" w:hAnsi="Times New Roman" w:cs="Times New Roman" w:hint="eastAsia"/>
          <w:sz w:val="20"/>
          <w:szCs w:val="20"/>
        </w:rPr>
        <w:t>21</w:t>
      </w:r>
      <w:r w:rsidR="00382AEF" w:rsidRPr="005F7081">
        <w:rPr>
          <w:rFonts w:ascii="Times New Roman" w:eastAsia="標楷體" w:hAnsi="Times New Roman" w:cs="Times New Roman" w:hint="eastAsia"/>
          <w:sz w:val="20"/>
          <w:szCs w:val="20"/>
        </w:rPr>
        <w:t>日校長核准，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9D0E47">
        <w:rPr>
          <w:rFonts w:ascii="Times New Roman" w:eastAsia="標楷體" w:hAnsi="Times New Roman" w:cs="Times New Roman"/>
          <w:sz w:val="20"/>
          <w:szCs w:val="20"/>
        </w:rPr>
        <w:t>14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CE673E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CE673E">
        <w:rPr>
          <w:rFonts w:ascii="Times New Roman" w:eastAsia="標楷體" w:hAnsi="Times New Roman" w:cs="Times New Roman" w:hint="eastAsia"/>
          <w:sz w:val="20"/>
          <w:szCs w:val="20"/>
        </w:rPr>
        <w:t>27</w:t>
      </w:r>
      <w:r w:rsidRPr="005F7081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382AEF" w:rsidRPr="005F7081">
        <w:rPr>
          <w:rFonts w:ascii="Times New Roman" w:eastAsia="標楷體" w:hAnsi="Times New Roman" w:cs="Times New Roman" w:hint="eastAsia"/>
          <w:sz w:val="20"/>
          <w:szCs w:val="20"/>
        </w:rPr>
        <w:t>公告。</w:t>
      </w:r>
      <w:r w:rsidR="00382AEF" w:rsidRPr="005F7081">
        <w:t xml:space="preserve"> </w:t>
      </w:r>
    </w:p>
    <w:p w14:paraId="1547D899" w14:textId="77777777" w:rsidR="008F23AA" w:rsidRPr="00CE673E" w:rsidRDefault="008F23AA" w:rsidP="009D0E47">
      <w:pPr>
        <w:widowControl/>
        <w:spacing w:line="300" w:lineRule="exact"/>
        <w:ind w:firstLineChars="236" w:firstLine="566"/>
      </w:pPr>
    </w:p>
    <w:sectPr w:rsidR="008F23AA" w:rsidRPr="00CE673E" w:rsidSect="0071666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D672" w14:textId="77777777" w:rsidR="004F541D" w:rsidRDefault="004F541D" w:rsidP="005F7081">
      <w:r>
        <w:separator/>
      </w:r>
    </w:p>
  </w:endnote>
  <w:endnote w:type="continuationSeparator" w:id="0">
    <w:p w14:paraId="67AFF23A" w14:textId="77777777" w:rsidR="004F541D" w:rsidRDefault="004F541D" w:rsidP="005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3024" w14:textId="77777777" w:rsidR="004F541D" w:rsidRDefault="004F541D" w:rsidP="005F7081">
      <w:r>
        <w:separator/>
      </w:r>
    </w:p>
  </w:footnote>
  <w:footnote w:type="continuationSeparator" w:id="0">
    <w:p w14:paraId="6C438141" w14:textId="77777777" w:rsidR="004F541D" w:rsidRDefault="004F541D" w:rsidP="005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2F4A"/>
    <w:multiLevelType w:val="hybridMultilevel"/>
    <w:tmpl w:val="18585A4C"/>
    <w:lvl w:ilvl="0" w:tplc="E228C7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" w15:restartNumberingAfterBreak="0">
    <w:nsid w:val="0AB02344"/>
    <w:multiLevelType w:val="hybridMultilevel"/>
    <w:tmpl w:val="18585A4C"/>
    <w:lvl w:ilvl="0" w:tplc="E228C7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516F466B"/>
    <w:multiLevelType w:val="hybridMultilevel"/>
    <w:tmpl w:val="1A9656F2"/>
    <w:lvl w:ilvl="0" w:tplc="327AE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462320"/>
    <w:multiLevelType w:val="hybridMultilevel"/>
    <w:tmpl w:val="993CFE1A"/>
    <w:lvl w:ilvl="0" w:tplc="F5881F32">
      <w:start w:val="7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854AFE"/>
    <w:multiLevelType w:val="hybridMultilevel"/>
    <w:tmpl w:val="18585A4C"/>
    <w:lvl w:ilvl="0" w:tplc="E228C7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5" w15:restartNumberingAfterBreak="0">
    <w:nsid w:val="6F542DFF"/>
    <w:multiLevelType w:val="hybridMultilevel"/>
    <w:tmpl w:val="18585A4C"/>
    <w:lvl w:ilvl="0" w:tplc="E228C7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7"/>
    <w:rsid w:val="0004604C"/>
    <w:rsid w:val="000A3707"/>
    <w:rsid w:val="000C4D17"/>
    <w:rsid w:val="00225FFA"/>
    <w:rsid w:val="002544BF"/>
    <w:rsid w:val="00322FF4"/>
    <w:rsid w:val="00382AEF"/>
    <w:rsid w:val="003B3AB8"/>
    <w:rsid w:val="004F541D"/>
    <w:rsid w:val="005F7081"/>
    <w:rsid w:val="0066018C"/>
    <w:rsid w:val="00716667"/>
    <w:rsid w:val="007929D9"/>
    <w:rsid w:val="008F23AA"/>
    <w:rsid w:val="00911F91"/>
    <w:rsid w:val="00932F6E"/>
    <w:rsid w:val="009D0E47"/>
    <w:rsid w:val="00A83CED"/>
    <w:rsid w:val="00AB3428"/>
    <w:rsid w:val="00AE2E6B"/>
    <w:rsid w:val="00B91EB3"/>
    <w:rsid w:val="00BB4DC8"/>
    <w:rsid w:val="00BC1724"/>
    <w:rsid w:val="00CE673E"/>
    <w:rsid w:val="00D1320E"/>
    <w:rsid w:val="00D2756C"/>
    <w:rsid w:val="00E808B0"/>
    <w:rsid w:val="00F12F71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BC2F"/>
  <w15:docId w15:val="{DEE0B024-CE6F-453E-BA8C-13F1948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71666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1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70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7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7081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F12F7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F12F71"/>
  </w:style>
  <w:style w:type="paragraph" w:styleId="aa">
    <w:name w:val="List Paragraph"/>
    <w:basedOn w:val="a"/>
    <w:uiPriority w:val="34"/>
    <w:qFormat/>
    <w:rsid w:val="008F23AA"/>
    <w:pPr>
      <w:ind w:leftChars="200" w:left="480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2025-10-17T01:17:00Z</dcterms:created>
  <dcterms:modified xsi:type="dcterms:W3CDTF">2025-10-27T06:21:00Z</dcterms:modified>
</cp:coreProperties>
</file>