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DDADA" w14:textId="77777777" w:rsidR="003449EC" w:rsidRPr="00C957F8" w:rsidRDefault="00ED0C63" w:rsidP="00ED0C63">
      <w:pPr>
        <w:pStyle w:val="2"/>
        <w:spacing w:line="360" w:lineRule="exact"/>
        <w:jc w:val="center"/>
        <w:rPr>
          <w:rFonts w:ascii="Times New Roman" w:eastAsia="標楷體" w:hAnsi="標楷體" w:cs="Times New Roman"/>
          <w:bCs w:val="0"/>
          <w:sz w:val="32"/>
          <w:szCs w:val="28"/>
        </w:rPr>
      </w:pPr>
      <w:bookmarkStart w:id="0" w:name="_Toc400633340"/>
      <w:r w:rsidRPr="00C957F8">
        <w:rPr>
          <w:rFonts w:ascii="Times New Roman" w:eastAsia="標楷體" w:hAnsi="標楷體" w:cs="Times New Roman"/>
          <w:bCs w:val="0"/>
          <w:sz w:val="32"/>
          <w:szCs w:val="28"/>
        </w:rPr>
        <w:t>國立</w:t>
      </w:r>
      <w:proofErr w:type="gramStart"/>
      <w:r w:rsidRPr="00C957F8">
        <w:rPr>
          <w:rFonts w:ascii="Times New Roman" w:eastAsia="標楷體" w:hAnsi="標楷體" w:cs="Times New Roman"/>
          <w:bCs w:val="0"/>
          <w:sz w:val="32"/>
          <w:szCs w:val="28"/>
        </w:rPr>
        <w:t>臺</w:t>
      </w:r>
      <w:proofErr w:type="gramEnd"/>
      <w:r w:rsidRPr="00C957F8">
        <w:rPr>
          <w:rFonts w:ascii="Times New Roman" w:eastAsia="標楷體" w:hAnsi="標楷體" w:cs="Times New Roman"/>
          <w:bCs w:val="0"/>
          <w:sz w:val="32"/>
          <w:szCs w:val="28"/>
        </w:rPr>
        <w:t>中教育大學教師專業碩士學位學程</w:t>
      </w:r>
      <w:bookmarkStart w:id="1" w:name="研究生修業規定"/>
      <w:r w:rsidR="003449EC" w:rsidRPr="00C957F8">
        <w:rPr>
          <w:rFonts w:ascii="Times New Roman" w:eastAsia="標楷體" w:hAnsi="標楷體" w:cs="Times New Roman" w:hint="eastAsia"/>
          <w:bCs w:val="0"/>
          <w:sz w:val="32"/>
          <w:szCs w:val="28"/>
        </w:rPr>
        <w:t>「</w:t>
      </w:r>
      <w:proofErr w:type="gramStart"/>
      <w:r w:rsidR="003449EC" w:rsidRPr="00C957F8">
        <w:rPr>
          <w:rFonts w:ascii="Times New Roman" w:eastAsia="標楷體" w:hAnsi="標楷體" w:cs="Times New Roman" w:hint="eastAsia"/>
          <w:bCs w:val="0"/>
          <w:sz w:val="32"/>
          <w:szCs w:val="28"/>
        </w:rPr>
        <w:t>跨域創客</w:t>
      </w:r>
      <w:proofErr w:type="gramEnd"/>
      <w:r w:rsidR="003449EC" w:rsidRPr="00C957F8">
        <w:rPr>
          <w:rFonts w:ascii="Times New Roman" w:eastAsia="標楷體" w:hAnsi="標楷體" w:cs="Times New Roman" w:hint="eastAsia"/>
          <w:bCs w:val="0"/>
          <w:sz w:val="32"/>
          <w:szCs w:val="28"/>
        </w:rPr>
        <w:t>教學班」</w:t>
      </w:r>
    </w:p>
    <w:p w14:paraId="6EB1EC75" w14:textId="69F9460D" w:rsidR="00ED0C63" w:rsidRPr="00C957F8" w:rsidRDefault="00ED0C63" w:rsidP="00ED0C63">
      <w:pPr>
        <w:pStyle w:val="2"/>
        <w:spacing w:line="360" w:lineRule="exact"/>
        <w:jc w:val="center"/>
        <w:rPr>
          <w:rFonts w:ascii="Times New Roman" w:eastAsia="標楷體" w:hAnsi="標楷體" w:cs="Times New Roman"/>
          <w:bCs w:val="0"/>
          <w:sz w:val="28"/>
          <w:szCs w:val="28"/>
        </w:rPr>
      </w:pPr>
      <w:r w:rsidRPr="00C957F8">
        <w:rPr>
          <w:rFonts w:ascii="Times New Roman" w:eastAsia="標楷體" w:hAnsi="標楷體" w:cs="Times New Roman"/>
          <w:bCs w:val="0"/>
          <w:sz w:val="32"/>
          <w:szCs w:val="28"/>
        </w:rPr>
        <w:t>研究生</w:t>
      </w:r>
      <w:bookmarkEnd w:id="0"/>
      <w:bookmarkEnd w:id="1"/>
      <w:r w:rsidRPr="00C957F8">
        <w:rPr>
          <w:rFonts w:ascii="Times New Roman" w:eastAsia="標楷體" w:hAnsi="標楷體" w:cs="Times New Roman" w:hint="eastAsia"/>
          <w:bCs w:val="0"/>
          <w:sz w:val="32"/>
          <w:szCs w:val="28"/>
        </w:rPr>
        <w:t>畢業門檻要點</w:t>
      </w:r>
    </w:p>
    <w:p w14:paraId="3AC929BC" w14:textId="37CE2565" w:rsidR="00011F52" w:rsidRPr="00C957F8" w:rsidRDefault="00ED0C63" w:rsidP="00A90773">
      <w:pPr>
        <w:spacing w:line="260" w:lineRule="exact"/>
        <w:jc w:val="right"/>
        <w:rPr>
          <w:rFonts w:eastAsia="標楷體" w:hAnsi="標楷體"/>
          <w:sz w:val="12"/>
          <w:szCs w:val="16"/>
        </w:rPr>
      </w:pPr>
      <w:r w:rsidRPr="00C957F8">
        <w:rPr>
          <w:rFonts w:eastAsia="標楷體" w:hAnsi="標楷體" w:hint="eastAsia"/>
          <w:sz w:val="12"/>
          <w:szCs w:val="16"/>
        </w:rPr>
        <w:t>11</w:t>
      </w:r>
      <w:r w:rsidR="003449EC" w:rsidRPr="00C957F8">
        <w:rPr>
          <w:rFonts w:eastAsia="標楷體" w:hAnsi="標楷體"/>
          <w:sz w:val="12"/>
          <w:szCs w:val="16"/>
        </w:rPr>
        <w:t>4</w:t>
      </w:r>
      <w:r w:rsidRPr="00C957F8">
        <w:rPr>
          <w:rFonts w:eastAsia="標楷體" w:hAnsi="標楷體" w:hint="eastAsia"/>
          <w:sz w:val="12"/>
          <w:szCs w:val="16"/>
        </w:rPr>
        <w:t>年</w:t>
      </w:r>
      <w:r w:rsidR="00A14ABC" w:rsidRPr="00C957F8">
        <w:rPr>
          <w:rFonts w:eastAsia="標楷體" w:hAnsi="標楷體" w:hint="eastAsia"/>
          <w:sz w:val="12"/>
          <w:szCs w:val="16"/>
        </w:rPr>
        <w:t>9</w:t>
      </w:r>
      <w:r w:rsidRPr="00C957F8">
        <w:rPr>
          <w:rFonts w:eastAsia="標楷體" w:hAnsi="標楷體" w:hint="eastAsia"/>
          <w:sz w:val="12"/>
          <w:szCs w:val="16"/>
        </w:rPr>
        <w:t>月</w:t>
      </w:r>
      <w:r w:rsidR="00A14ABC" w:rsidRPr="00C957F8">
        <w:rPr>
          <w:rFonts w:eastAsia="標楷體" w:hAnsi="標楷體" w:hint="eastAsia"/>
          <w:sz w:val="12"/>
          <w:szCs w:val="16"/>
        </w:rPr>
        <w:t>19</w:t>
      </w:r>
      <w:r w:rsidRPr="00C957F8">
        <w:rPr>
          <w:rFonts w:eastAsia="標楷體" w:hAnsi="標楷體" w:hint="eastAsia"/>
          <w:sz w:val="12"/>
          <w:szCs w:val="16"/>
        </w:rPr>
        <w:t>日</w:t>
      </w:r>
      <w:r w:rsidRPr="00C957F8">
        <w:rPr>
          <w:rFonts w:eastAsia="標楷體" w:hAnsi="標楷體" w:hint="eastAsia"/>
          <w:sz w:val="12"/>
          <w:szCs w:val="16"/>
        </w:rPr>
        <w:t>11</w:t>
      </w:r>
      <w:r w:rsidR="003449EC" w:rsidRPr="00C957F8">
        <w:rPr>
          <w:rFonts w:eastAsia="標楷體" w:hAnsi="標楷體"/>
          <w:sz w:val="12"/>
          <w:szCs w:val="16"/>
        </w:rPr>
        <w:t>4</w:t>
      </w:r>
      <w:r w:rsidRPr="00C957F8">
        <w:rPr>
          <w:rFonts w:eastAsia="標楷體" w:hAnsi="標楷體" w:hint="eastAsia"/>
          <w:sz w:val="12"/>
          <w:szCs w:val="16"/>
        </w:rPr>
        <w:t>學年度第</w:t>
      </w:r>
      <w:r w:rsidR="003449EC" w:rsidRPr="00C957F8">
        <w:rPr>
          <w:rFonts w:eastAsia="標楷體" w:hAnsi="標楷體"/>
          <w:sz w:val="12"/>
          <w:szCs w:val="16"/>
        </w:rPr>
        <w:t>1</w:t>
      </w:r>
      <w:r w:rsidRPr="00C957F8">
        <w:rPr>
          <w:rFonts w:eastAsia="標楷體" w:hAnsi="標楷體" w:hint="eastAsia"/>
          <w:sz w:val="12"/>
          <w:szCs w:val="16"/>
        </w:rPr>
        <w:t>學期第</w:t>
      </w:r>
      <w:r w:rsidR="00A14ABC" w:rsidRPr="00C957F8">
        <w:rPr>
          <w:rFonts w:eastAsia="標楷體" w:hAnsi="標楷體" w:hint="eastAsia"/>
          <w:sz w:val="12"/>
          <w:szCs w:val="16"/>
        </w:rPr>
        <w:t>2</w:t>
      </w:r>
      <w:r w:rsidRPr="00C957F8">
        <w:rPr>
          <w:rFonts w:eastAsia="標楷體" w:hAnsi="標楷體" w:hint="eastAsia"/>
          <w:sz w:val="12"/>
          <w:szCs w:val="16"/>
        </w:rPr>
        <w:t>次學程事務會議</w:t>
      </w:r>
      <w:r w:rsidR="003C1A06" w:rsidRPr="00C957F8">
        <w:rPr>
          <w:rFonts w:eastAsia="標楷體" w:hAnsi="標楷體" w:hint="eastAsia"/>
          <w:sz w:val="12"/>
          <w:szCs w:val="16"/>
        </w:rPr>
        <w:t>通過</w:t>
      </w:r>
    </w:p>
    <w:p w14:paraId="5252D40F" w14:textId="55104ADA" w:rsidR="00ED0C63" w:rsidRPr="00C957F8" w:rsidRDefault="00ED0C63" w:rsidP="00E10F66">
      <w:pPr>
        <w:pStyle w:val="a3"/>
        <w:numPr>
          <w:ilvl w:val="0"/>
          <w:numId w:val="1"/>
        </w:numPr>
        <w:spacing w:line="340" w:lineRule="exact"/>
        <w:ind w:leftChars="0"/>
        <w:rPr>
          <w:rFonts w:ascii="標楷體" w:eastAsia="標楷體" w:hAnsi="標楷體"/>
        </w:rPr>
      </w:pPr>
      <w:r w:rsidRPr="00C957F8">
        <w:rPr>
          <w:rFonts w:ascii="標楷體" w:eastAsia="標楷體" w:hAnsi="標楷體" w:hint="eastAsia"/>
        </w:rPr>
        <w:t>國立</w:t>
      </w:r>
      <w:proofErr w:type="gramStart"/>
      <w:r w:rsidRPr="00C957F8">
        <w:rPr>
          <w:rFonts w:ascii="標楷體" w:eastAsia="標楷體" w:hAnsi="標楷體" w:hint="eastAsia"/>
        </w:rPr>
        <w:t>臺</w:t>
      </w:r>
      <w:proofErr w:type="gramEnd"/>
      <w:r w:rsidRPr="00C957F8">
        <w:rPr>
          <w:rFonts w:ascii="標楷體" w:eastAsia="標楷體" w:hAnsi="標楷體" w:hint="eastAsia"/>
        </w:rPr>
        <w:t>中教育大學教師專業碩士學位學程（以下簡稱本學程）為規劃</w:t>
      </w:r>
      <w:r w:rsidR="003449EC" w:rsidRPr="00C957F8">
        <w:rPr>
          <w:rFonts w:ascii="標楷體" w:eastAsia="標楷體" w:hAnsi="標楷體" w:hint="eastAsia"/>
        </w:rPr>
        <w:t>「</w:t>
      </w:r>
      <w:proofErr w:type="gramStart"/>
      <w:r w:rsidR="003449EC" w:rsidRPr="00C957F8">
        <w:rPr>
          <w:rFonts w:ascii="標楷體" w:eastAsia="標楷體" w:hAnsi="標楷體" w:hint="eastAsia"/>
        </w:rPr>
        <w:t>跨域創</w:t>
      </w:r>
      <w:proofErr w:type="gramEnd"/>
      <w:r w:rsidR="003449EC" w:rsidRPr="00C957F8">
        <w:rPr>
          <w:rFonts w:ascii="標楷體" w:eastAsia="標楷體" w:hAnsi="標楷體" w:hint="eastAsia"/>
        </w:rPr>
        <w:t>客教學班」研究生</w:t>
      </w:r>
      <w:r w:rsidRPr="00C957F8">
        <w:rPr>
          <w:rFonts w:ascii="標楷體" w:eastAsia="標楷體" w:hAnsi="標楷體" w:hint="eastAsia"/>
        </w:rPr>
        <w:t>畢業門檻之相關規定，特依</w:t>
      </w:r>
      <w:r w:rsidR="00CE0862" w:rsidRPr="00C957F8">
        <w:rPr>
          <w:rFonts w:ascii="標楷體" w:eastAsia="標楷體" w:hAnsi="標楷體" w:hint="eastAsia"/>
        </w:rPr>
        <w:t>國立臺中教育大學</w:t>
      </w:r>
      <w:r w:rsidRPr="00C957F8">
        <w:rPr>
          <w:rFonts w:ascii="標楷體" w:eastAsia="標楷體" w:hAnsi="標楷體" w:hint="eastAsia"/>
        </w:rPr>
        <w:t>學則、本學程研究生修業規定等訂定國立臺中教育大學教師專業碩士學位學程</w:t>
      </w:r>
      <w:r w:rsidR="003449EC" w:rsidRPr="00C957F8">
        <w:rPr>
          <w:rFonts w:ascii="標楷體" w:eastAsia="標楷體" w:hAnsi="標楷體" w:hint="eastAsia"/>
        </w:rPr>
        <w:t>「</w:t>
      </w:r>
      <w:proofErr w:type="gramStart"/>
      <w:r w:rsidR="003449EC" w:rsidRPr="00C957F8">
        <w:rPr>
          <w:rFonts w:ascii="標楷體" w:eastAsia="標楷體" w:hAnsi="標楷體" w:hint="eastAsia"/>
        </w:rPr>
        <w:t>跨域創</w:t>
      </w:r>
      <w:proofErr w:type="gramEnd"/>
      <w:r w:rsidR="003449EC" w:rsidRPr="00C957F8">
        <w:rPr>
          <w:rFonts w:ascii="標楷體" w:eastAsia="標楷體" w:hAnsi="標楷體" w:hint="eastAsia"/>
        </w:rPr>
        <w:t>客教學班」</w:t>
      </w:r>
      <w:r w:rsidRPr="00C957F8">
        <w:rPr>
          <w:rFonts w:ascii="標楷體" w:eastAsia="標楷體" w:hAnsi="標楷體" w:hint="eastAsia"/>
        </w:rPr>
        <w:t>研究生畢業門檻要點（以下簡稱本要點）。</w:t>
      </w:r>
    </w:p>
    <w:p w14:paraId="4E9E1738" w14:textId="4DCDAEFE" w:rsidR="00ED0C63" w:rsidRPr="00C957F8" w:rsidRDefault="003449EC" w:rsidP="00E10F66">
      <w:pPr>
        <w:pStyle w:val="a3"/>
        <w:numPr>
          <w:ilvl w:val="0"/>
          <w:numId w:val="1"/>
        </w:numPr>
        <w:spacing w:line="340" w:lineRule="exact"/>
        <w:ind w:leftChars="0"/>
        <w:rPr>
          <w:rFonts w:ascii="標楷體" w:eastAsia="標楷體" w:hAnsi="標楷體"/>
        </w:rPr>
      </w:pPr>
      <w:r w:rsidRPr="00C957F8">
        <w:rPr>
          <w:rFonts w:ascii="標楷體" w:eastAsia="標楷體" w:hAnsi="標楷體" w:hint="eastAsia"/>
        </w:rPr>
        <w:t>「</w:t>
      </w:r>
      <w:proofErr w:type="gramStart"/>
      <w:r w:rsidRPr="00C957F8">
        <w:rPr>
          <w:rFonts w:ascii="標楷體" w:eastAsia="標楷體" w:hAnsi="標楷體" w:hint="eastAsia"/>
        </w:rPr>
        <w:t>跨域創客</w:t>
      </w:r>
      <w:proofErr w:type="gramEnd"/>
      <w:r w:rsidRPr="00C957F8">
        <w:rPr>
          <w:rFonts w:ascii="標楷體" w:eastAsia="標楷體" w:hAnsi="標楷體" w:hint="eastAsia"/>
        </w:rPr>
        <w:t>教學班」研究生</w:t>
      </w:r>
      <w:r w:rsidR="00ED0C63" w:rsidRPr="00C957F8">
        <w:rPr>
          <w:rFonts w:ascii="標楷體" w:eastAsia="標楷體" w:hAnsi="標楷體" w:hint="eastAsia"/>
        </w:rPr>
        <w:t>需於畢業前完成下列條件始得畢業</w:t>
      </w:r>
      <w:r w:rsidR="00150B57" w:rsidRPr="00C957F8">
        <w:rPr>
          <w:rFonts w:ascii="標楷體" w:eastAsia="標楷體" w:hAnsi="標楷體" w:hint="eastAsia"/>
        </w:rPr>
        <w:t>：</w:t>
      </w:r>
    </w:p>
    <w:p w14:paraId="12943517" w14:textId="77777777" w:rsidR="00150B57" w:rsidRPr="00C957F8" w:rsidRDefault="00150B57" w:rsidP="00150B57">
      <w:pPr>
        <w:spacing w:line="340" w:lineRule="exact"/>
        <w:rPr>
          <w:rFonts w:ascii="標楷體" w:eastAsia="標楷體" w:hAnsi="標楷體"/>
        </w:rPr>
      </w:pPr>
      <w:r w:rsidRPr="00C957F8">
        <w:rPr>
          <w:rFonts w:ascii="標楷體" w:eastAsia="標楷體" w:hAnsi="標楷體" w:hint="eastAsia"/>
        </w:rPr>
        <w:t xml:space="preserve">　　</w:t>
      </w:r>
      <w:r w:rsidR="00BD426B" w:rsidRPr="00C957F8">
        <w:rPr>
          <w:rFonts w:ascii="標楷體" w:eastAsia="標楷體" w:hAnsi="標楷體" w:hint="eastAsia"/>
        </w:rPr>
        <w:t>(</w:t>
      </w:r>
      <w:proofErr w:type="gramStart"/>
      <w:r w:rsidR="00BD426B" w:rsidRPr="00C957F8">
        <w:rPr>
          <w:rFonts w:ascii="標楷體" w:eastAsia="標楷體" w:hAnsi="標楷體" w:hint="eastAsia"/>
        </w:rPr>
        <w:t>一</w:t>
      </w:r>
      <w:proofErr w:type="gramEnd"/>
      <w:r w:rsidR="00BD426B" w:rsidRPr="00C957F8">
        <w:rPr>
          <w:rFonts w:ascii="標楷體" w:eastAsia="標楷體" w:hAnsi="標楷體" w:hint="eastAsia"/>
        </w:rPr>
        <w:t>)</w:t>
      </w:r>
      <w:r w:rsidR="00ED0C63" w:rsidRPr="00C957F8">
        <w:rPr>
          <w:rFonts w:ascii="標楷體" w:eastAsia="標楷體" w:hAnsi="標楷體" w:hint="eastAsia"/>
        </w:rPr>
        <w:t>學術門檻</w:t>
      </w:r>
    </w:p>
    <w:p w14:paraId="7839D1BB" w14:textId="77777777" w:rsidR="00150B57" w:rsidRPr="00C957F8" w:rsidRDefault="00150B57" w:rsidP="00150B57">
      <w:pPr>
        <w:spacing w:line="340" w:lineRule="exact"/>
        <w:ind w:left="850" w:hangingChars="354" w:hanging="850"/>
        <w:rPr>
          <w:rFonts w:ascii="標楷體" w:eastAsia="標楷體" w:hAnsi="標楷體"/>
        </w:rPr>
      </w:pPr>
      <w:r w:rsidRPr="00C957F8">
        <w:rPr>
          <w:rFonts w:ascii="標楷體" w:eastAsia="標楷體" w:hAnsi="標楷體" w:hint="eastAsia"/>
        </w:rPr>
        <w:t xml:space="preserve">　　　</w:t>
      </w:r>
      <w:r w:rsidR="00ED0C63" w:rsidRPr="00C957F8">
        <w:rPr>
          <w:rFonts w:eastAsia="標楷體"/>
        </w:rPr>
        <w:t>1.</w:t>
      </w:r>
      <w:r w:rsidR="00ED0C63" w:rsidRPr="00C957F8">
        <w:rPr>
          <w:rFonts w:eastAsia="標楷體"/>
        </w:rPr>
        <w:t>修業期間內需</w:t>
      </w:r>
      <w:r w:rsidR="006D58CF" w:rsidRPr="00C957F8">
        <w:rPr>
          <w:rFonts w:eastAsia="標楷體"/>
        </w:rPr>
        <w:t>參與碩士</w:t>
      </w:r>
      <w:r w:rsidR="00ED0C63" w:rsidRPr="00C957F8">
        <w:rPr>
          <w:rFonts w:eastAsia="標楷體"/>
        </w:rPr>
        <w:t>論文計畫發表及學位論文考試各</w:t>
      </w:r>
      <w:r w:rsidR="00ED0C63" w:rsidRPr="00C957F8">
        <w:rPr>
          <w:rFonts w:eastAsia="標楷體"/>
        </w:rPr>
        <w:t>1</w:t>
      </w:r>
      <w:r w:rsidR="00ED0C63" w:rsidRPr="00C957F8">
        <w:rPr>
          <w:rFonts w:eastAsia="標楷體"/>
        </w:rPr>
        <w:t>場</w:t>
      </w:r>
      <w:r w:rsidR="006D58CF" w:rsidRPr="00C957F8">
        <w:rPr>
          <w:rFonts w:eastAsia="標楷體"/>
        </w:rPr>
        <w:t>；或參與教學實務報告計畫發表及教學實務報告各</w:t>
      </w:r>
      <w:r w:rsidR="006D58CF" w:rsidRPr="00C957F8">
        <w:rPr>
          <w:rFonts w:eastAsia="標楷體"/>
        </w:rPr>
        <w:t>1</w:t>
      </w:r>
      <w:r w:rsidR="006D58CF" w:rsidRPr="00C957F8">
        <w:rPr>
          <w:rFonts w:eastAsia="標楷體"/>
        </w:rPr>
        <w:t>場。</w:t>
      </w:r>
    </w:p>
    <w:p w14:paraId="602056C4" w14:textId="77777777" w:rsidR="00150B57" w:rsidRPr="00C957F8" w:rsidRDefault="00150B57" w:rsidP="00150B57">
      <w:pPr>
        <w:spacing w:line="340" w:lineRule="exact"/>
        <w:ind w:left="850" w:hangingChars="354" w:hanging="850"/>
        <w:rPr>
          <w:rFonts w:ascii="標楷體" w:eastAsia="標楷體" w:hAnsi="標楷體"/>
        </w:rPr>
      </w:pPr>
      <w:r w:rsidRPr="00C957F8">
        <w:rPr>
          <w:rFonts w:ascii="標楷體" w:eastAsia="標楷體" w:hAnsi="標楷體" w:hint="eastAsia"/>
        </w:rPr>
        <w:t xml:space="preserve">　　　</w:t>
      </w:r>
      <w:r w:rsidR="00ED0C63" w:rsidRPr="00C957F8">
        <w:rPr>
          <w:rFonts w:eastAsia="標楷體"/>
        </w:rPr>
        <w:t>2.</w:t>
      </w:r>
      <w:r w:rsidR="00ED0C63" w:rsidRPr="00C957F8">
        <w:rPr>
          <w:rFonts w:eastAsia="標楷體"/>
        </w:rPr>
        <w:t>修業期間內至少參加</w:t>
      </w:r>
      <w:r w:rsidR="006D58CF" w:rsidRPr="00C957F8">
        <w:rPr>
          <w:rFonts w:eastAsia="標楷體"/>
        </w:rPr>
        <w:t>1</w:t>
      </w:r>
      <w:r w:rsidR="00ED0C63" w:rsidRPr="00C957F8">
        <w:rPr>
          <w:rFonts w:eastAsia="標楷體"/>
        </w:rPr>
        <w:t>場與教育、教學主題相關之學術研討會。</w:t>
      </w:r>
    </w:p>
    <w:p w14:paraId="7FB97E6B" w14:textId="77777777" w:rsidR="00150B57" w:rsidRPr="00C957F8" w:rsidRDefault="00150B57" w:rsidP="00150B57">
      <w:pPr>
        <w:spacing w:line="340" w:lineRule="exact"/>
        <w:ind w:left="850" w:hangingChars="354" w:hanging="850"/>
        <w:rPr>
          <w:rFonts w:eastAsia="標楷體"/>
        </w:rPr>
      </w:pPr>
      <w:r w:rsidRPr="00C957F8">
        <w:rPr>
          <w:rFonts w:ascii="標楷體" w:eastAsia="標楷體" w:hAnsi="標楷體" w:hint="eastAsia"/>
        </w:rPr>
        <w:t xml:space="preserve">　　　</w:t>
      </w:r>
      <w:r w:rsidR="00ED0C63" w:rsidRPr="00C957F8">
        <w:rPr>
          <w:rFonts w:eastAsia="標楷體"/>
        </w:rPr>
        <w:t>3.</w:t>
      </w:r>
      <w:r w:rsidR="00BD426B" w:rsidRPr="00C957F8">
        <w:rPr>
          <w:rFonts w:eastAsia="標楷體"/>
        </w:rPr>
        <w:t>研究生</w:t>
      </w:r>
      <w:r w:rsidRPr="00C957F8">
        <w:rPr>
          <w:rFonts w:eastAsia="標楷體"/>
        </w:rPr>
        <w:t>於入學第一學年結束前須</w:t>
      </w:r>
      <w:r w:rsidR="00ED0C63" w:rsidRPr="00C957F8">
        <w:rPr>
          <w:rFonts w:eastAsia="標楷體"/>
        </w:rPr>
        <w:t>修</w:t>
      </w:r>
      <w:r w:rsidRPr="00C957F8">
        <w:rPr>
          <w:rFonts w:eastAsia="標楷體"/>
        </w:rPr>
        <w:t>畢</w:t>
      </w:r>
      <w:r w:rsidR="00ED0C63" w:rsidRPr="00C957F8">
        <w:rPr>
          <w:rFonts w:eastAsia="標楷體"/>
        </w:rPr>
        <w:t>臺灣學術倫理教育資源中心研究倫理核心課程</w:t>
      </w:r>
      <w:r w:rsidRPr="00C957F8">
        <w:rPr>
          <w:rFonts w:eastAsia="標楷體"/>
        </w:rPr>
        <w:t>，</w:t>
      </w:r>
      <w:r w:rsidR="00ED0C63" w:rsidRPr="00C957F8">
        <w:rPr>
          <w:rFonts w:eastAsia="標楷體"/>
        </w:rPr>
        <w:t>並</w:t>
      </w:r>
      <w:r w:rsidRPr="00C957F8">
        <w:rPr>
          <w:rFonts w:eastAsia="標楷體"/>
        </w:rPr>
        <w:t>經</w:t>
      </w:r>
      <w:r w:rsidR="007F7624" w:rsidRPr="00C957F8">
        <w:rPr>
          <w:rFonts w:eastAsia="標楷體"/>
        </w:rPr>
        <w:t>線上檢核成績及格取得</w:t>
      </w:r>
      <w:r w:rsidR="007F7624" w:rsidRPr="00C957F8">
        <w:rPr>
          <w:rFonts w:eastAsia="標楷體"/>
        </w:rPr>
        <w:t>6</w:t>
      </w:r>
      <w:r w:rsidR="007F7624" w:rsidRPr="00C957F8">
        <w:rPr>
          <w:rFonts w:eastAsia="標楷體"/>
        </w:rPr>
        <w:t>小時修課證明</w:t>
      </w:r>
      <w:r w:rsidR="00ED0C63" w:rsidRPr="00C957F8">
        <w:rPr>
          <w:rFonts w:eastAsia="標楷體"/>
        </w:rPr>
        <w:t>，始得申請學位論文考試。</w:t>
      </w:r>
    </w:p>
    <w:p w14:paraId="0EF6F7B5" w14:textId="002772EE" w:rsidR="00ED0C63" w:rsidRPr="00C957F8" w:rsidRDefault="00150B57" w:rsidP="00150B57">
      <w:pPr>
        <w:spacing w:line="340" w:lineRule="exact"/>
        <w:ind w:left="850" w:hangingChars="354" w:hanging="850"/>
        <w:rPr>
          <w:rFonts w:eastAsia="標楷體"/>
        </w:rPr>
      </w:pPr>
      <w:r w:rsidRPr="00C957F8">
        <w:rPr>
          <w:rFonts w:eastAsia="標楷體" w:hint="eastAsia"/>
        </w:rPr>
        <w:t xml:space="preserve">　　（二）</w:t>
      </w:r>
      <w:r w:rsidR="00ED0C63" w:rsidRPr="00C957F8">
        <w:rPr>
          <w:rFonts w:eastAsia="標楷體"/>
        </w:rPr>
        <w:t>教學演示</w:t>
      </w:r>
    </w:p>
    <w:p w14:paraId="3389877D" w14:textId="582766AC" w:rsidR="00FB2812" w:rsidRPr="00C957F8" w:rsidRDefault="00150B57" w:rsidP="00150B57">
      <w:pPr>
        <w:spacing w:line="340" w:lineRule="exact"/>
        <w:ind w:leftChars="235" w:left="989" w:hangingChars="177" w:hanging="425"/>
        <w:rPr>
          <w:rFonts w:eastAsia="標楷體"/>
        </w:rPr>
      </w:pPr>
      <w:r w:rsidRPr="00C957F8">
        <w:rPr>
          <w:rFonts w:eastAsia="標楷體" w:hint="eastAsia"/>
        </w:rPr>
        <w:t xml:space="preserve">　</w:t>
      </w:r>
      <w:r w:rsidR="00ED0C63" w:rsidRPr="00C957F8">
        <w:rPr>
          <w:rFonts w:eastAsia="標楷體"/>
        </w:rPr>
        <w:t>1.</w:t>
      </w:r>
      <w:r w:rsidR="00BD426B" w:rsidRPr="00C957F8">
        <w:rPr>
          <w:rFonts w:eastAsia="標楷體"/>
        </w:rPr>
        <w:t>研究</w:t>
      </w:r>
      <w:r w:rsidR="00ED0C63" w:rsidRPr="00C957F8">
        <w:rPr>
          <w:rFonts w:eastAsia="標楷體"/>
        </w:rPr>
        <w:t>生於修業期間需參與</w:t>
      </w:r>
      <w:r w:rsidR="003449EC" w:rsidRPr="00C957F8">
        <w:rPr>
          <w:rFonts w:eastAsia="標楷體"/>
        </w:rPr>
        <w:t>二</w:t>
      </w:r>
      <w:r w:rsidR="00ED0C63" w:rsidRPr="00C957F8">
        <w:rPr>
          <w:rFonts w:eastAsia="標楷體"/>
        </w:rPr>
        <w:t>項</w:t>
      </w:r>
      <w:r w:rsidR="00BD426B" w:rsidRPr="00C957F8">
        <w:rPr>
          <w:rFonts w:eastAsia="標楷體"/>
        </w:rPr>
        <w:t>本學程辦理之</w:t>
      </w:r>
      <w:r w:rsidR="00ED0C63" w:rsidRPr="00C957F8">
        <w:rPr>
          <w:rFonts w:eastAsia="標楷體"/>
        </w:rPr>
        <w:t>教學演示，演示</w:t>
      </w:r>
      <w:r w:rsidR="00F658EB" w:rsidRPr="00C957F8">
        <w:rPr>
          <w:rFonts w:eastAsia="標楷體"/>
        </w:rPr>
        <w:t>項目</w:t>
      </w:r>
      <w:r w:rsidR="00ED0C63" w:rsidRPr="00C957F8">
        <w:rPr>
          <w:rFonts w:eastAsia="標楷體"/>
        </w:rPr>
        <w:t>分別為數學</w:t>
      </w:r>
      <w:r w:rsidR="003449EC" w:rsidRPr="00C957F8">
        <w:rPr>
          <w:rFonts w:eastAsia="標楷體"/>
        </w:rPr>
        <w:t>與</w:t>
      </w:r>
      <w:r w:rsidR="00ED0C63" w:rsidRPr="00C957F8">
        <w:rPr>
          <w:rFonts w:eastAsia="標楷體"/>
        </w:rPr>
        <w:t>國語，</w:t>
      </w:r>
      <w:r w:rsidR="00FB2812" w:rsidRPr="00C957F8">
        <w:rPr>
          <w:rFonts w:eastAsia="標楷體"/>
        </w:rPr>
        <w:t>各項成績總平均需達</w:t>
      </w:r>
      <w:r w:rsidR="00FB2812" w:rsidRPr="00C957F8">
        <w:rPr>
          <w:rFonts w:eastAsia="標楷體"/>
        </w:rPr>
        <w:t>70</w:t>
      </w:r>
      <w:r w:rsidR="00FB2812" w:rsidRPr="00C957F8">
        <w:rPr>
          <w:rFonts w:eastAsia="標楷體"/>
        </w:rPr>
        <w:t>分始為及格，如成績不及格者，每項演示</w:t>
      </w:r>
      <w:proofErr w:type="gramStart"/>
      <w:r w:rsidR="00FB2812" w:rsidRPr="00C957F8">
        <w:rPr>
          <w:rFonts w:eastAsia="標楷體"/>
        </w:rPr>
        <w:t>可補測</w:t>
      </w:r>
      <w:r w:rsidR="00FB2812" w:rsidRPr="00C957F8">
        <w:rPr>
          <w:rFonts w:eastAsia="標楷體"/>
        </w:rPr>
        <w:t>1</w:t>
      </w:r>
      <w:r w:rsidR="00FB2812" w:rsidRPr="00C957F8">
        <w:rPr>
          <w:rFonts w:eastAsia="標楷體"/>
        </w:rPr>
        <w:t>次</w:t>
      </w:r>
      <w:proofErr w:type="gramEnd"/>
      <w:r w:rsidR="00FB2812" w:rsidRPr="00C957F8">
        <w:rPr>
          <w:rFonts w:eastAsia="標楷體"/>
        </w:rPr>
        <w:t>。</w:t>
      </w:r>
    </w:p>
    <w:p w14:paraId="3E1F8ABF" w14:textId="1BD94F6C" w:rsidR="00ED0C63" w:rsidRPr="00C957F8" w:rsidRDefault="00150B57" w:rsidP="00E10F66">
      <w:pPr>
        <w:spacing w:line="340" w:lineRule="exact"/>
        <w:ind w:leftChars="236" w:left="849" w:hangingChars="118" w:hanging="283"/>
        <w:rPr>
          <w:rFonts w:eastAsia="標楷體"/>
        </w:rPr>
      </w:pPr>
      <w:r w:rsidRPr="00C957F8">
        <w:rPr>
          <w:rFonts w:eastAsia="標楷體" w:hint="eastAsia"/>
        </w:rPr>
        <w:t xml:space="preserve">　</w:t>
      </w:r>
      <w:r w:rsidR="00FB2812" w:rsidRPr="00C957F8">
        <w:rPr>
          <w:rFonts w:eastAsia="標楷體"/>
        </w:rPr>
        <w:t>2.</w:t>
      </w:r>
      <w:r w:rsidR="00BD426B" w:rsidRPr="00C957F8">
        <w:rPr>
          <w:rFonts w:eastAsia="標楷體"/>
        </w:rPr>
        <w:t>研究生</w:t>
      </w:r>
      <w:r w:rsidR="00FB2812" w:rsidRPr="00C957F8">
        <w:rPr>
          <w:rFonts w:eastAsia="標楷體"/>
        </w:rPr>
        <w:t>於任何一項教學演示之</w:t>
      </w:r>
      <w:proofErr w:type="gramStart"/>
      <w:r w:rsidR="00FB2812" w:rsidRPr="00C957F8">
        <w:rPr>
          <w:rFonts w:eastAsia="標楷體"/>
        </w:rPr>
        <w:t>補測仍</w:t>
      </w:r>
      <w:proofErr w:type="gramEnd"/>
      <w:r w:rsidR="00CE0862" w:rsidRPr="00C957F8">
        <w:rPr>
          <w:rFonts w:eastAsia="標楷體"/>
        </w:rPr>
        <w:t>未及格</w:t>
      </w:r>
      <w:r w:rsidR="00FB2812" w:rsidRPr="00C957F8">
        <w:rPr>
          <w:rFonts w:eastAsia="標楷體"/>
        </w:rPr>
        <w:t>者，將</w:t>
      </w:r>
      <w:r w:rsidR="003449EC" w:rsidRPr="00C957F8">
        <w:rPr>
          <w:rFonts w:eastAsia="標楷體"/>
        </w:rPr>
        <w:t>無法畢業</w:t>
      </w:r>
      <w:r w:rsidR="00FB2812" w:rsidRPr="00C957F8">
        <w:rPr>
          <w:rFonts w:eastAsia="標楷體"/>
        </w:rPr>
        <w:t>。</w:t>
      </w:r>
    </w:p>
    <w:p w14:paraId="5B1A8E09" w14:textId="4FBBC143" w:rsidR="00ED0C63" w:rsidRPr="00C957F8" w:rsidRDefault="00150B57" w:rsidP="00E10F66">
      <w:pPr>
        <w:spacing w:line="340" w:lineRule="exact"/>
        <w:rPr>
          <w:rFonts w:eastAsia="標楷體"/>
        </w:rPr>
      </w:pPr>
      <w:r w:rsidRPr="00C957F8">
        <w:rPr>
          <w:rFonts w:eastAsia="標楷體" w:hint="eastAsia"/>
        </w:rPr>
        <w:t xml:space="preserve">　　（三）</w:t>
      </w:r>
      <w:r w:rsidR="00ED0C63" w:rsidRPr="00C957F8">
        <w:rPr>
          <w:rFonts w:eastAsia="標楷體"/>
        </w:rPr>
        <w:t>教育專題講座</w:t>
      </w:r>
    </w:p>
    <w:p w14:paraId="24C7E881" w14:textId="70F1F56A" w:rsidR="00ED0C63" w:rsidRPr="00C957F8" w:rsidRDefault="00150B57" w:rsidP="00E10F66">
      <w:pPr>
        <w:spacing w:line="340" w:lineRule="exact"/>
        <w:ind w:firstLineChars="236" w:firstLine="566"/>
        <w:rPr>
          <w:rFonts w:eastAsia="標楷體"/>
        </w:rPr>
      </w:pPr>
      <w:r w:rsidRPr="00C957F8">
        <w:rPr>
          <w:rFonts w:eastAsia="標楷體" w:hint="eastAsia"/>
        </w:rPr>
        <w:t xml:space="preserve">　</w:t>
      </w:r>
      <w:r w:rsidR="00BD426B" w:rsidRPr="00C957F8">
        <w:rPr>
          <w:rFonts w:eastAsia="標楷體"/>
        </w:rPr>
        <w:t>研究生</w:t>
      </w:r>
      <w:r w:rsidR="00ED0C63" w:rsidRPr="00C957F8">
        <w:rPr>
          <w:rFonts w:eastAsia="標楷體"/>
        </w:rPr>
        <w:t>於修業期間</w:t>
      </w:r>
      <w:r w:rsidR="00BD426B" w:rsidRPr="00C957F8">
        <w:rPr>
          <w:rFonts w:eastAsia="標楷體"/>
        </w:rPr>
        <w:t>必須</w:t>
      </w:r>
      <w:r w:rsidR="00ED0C63" w:rsidRPr="00C957F8">
        <w:rPr>
          <w:rFonts w:eastAsia="標楷體"/>
        </w:rPr>
        <w:t>參加</w:t>
      </w:r>
      <w:r w:rsidR="00CE0862" w:rsidRPr="00C957F8">
        <w:rPr>
          <w:rFonts w:eastAsia="標楷體"/>
        </w:rPr>
        <w:t>本</w:t>
      </w:r>
      <w:r w:rsidR="00ED0C63" w:rsidRPr="00C957F8">
        <w:rPr>
          <w:rFonts w:eastAsia="標楷體"/>
        </w:rPr>
        <w:t>學程辦理之教育專題講座</w:t>
      </w:r>
      <w:r w:rsidR="00CE0862" w:rsidRPr="00C957F8">
        <w:rPr>
          <w:rFonts w:eastAsia="標楷體"/>
        </w:rPr>
        <w:t>每學期至少</w:t>
      </w:r>
      <w:r w:rsidRPr="00C957F8">
        <w:rPr>
          <w:rFonts w:eastAsia="標楷體"/>
        </w:rPr>
        <w:t>3</w:t>
      </w:r>
      <w:r w:rsidR="00CE0862" w:rsidRPr="00C957F8">
        <w:rPr>
          <w:rFonts w:eastAsia="標楷體"/>
        </w:rPr>
        <w:t>場次</w:t>
      </w:r>
      <w:r w:rsidR="00ED0C63" w:rsidRPr="00C957F8">
        <w:rPr>
          <w:rFonts w:eastAsia="標楷體"/>
        </w:rPr>
        <w:t>。</w:t>
      </w:r>
    </w:p>
    <w:p w14:paraId="242F72A8" w14:textId="2E9F82D5" w:rsidR="00ED0C63" w:rsidRPr="00C957F8" w:rsidRDefault="00BD426B" w:rsidP="00E10F66">
      <w:pPr>
        <w:spacing w:line="340" w:lineRule="exact"/>
        <w:ind w:leftChars="-118" w:left="-283" w:firstLineChars="118" w:firstLine="283"/>
        <w:rPr>
          <w:rFonts w:eastAsia="標楷體"/>
        </w:rPr>
      </w:pPr>
      <w:r w:rsidRPr="00C957F8">
        <w:rPr>
          <w:rFonts w:eastAsia="標楷體"/>
        </w:rPr>
        <w:t>三</w:t>
      </w:r>
      <w:r w:rsidR="00ED0C63" w:rsidRPr="00C957F8">
        <w:rPr>
          <w:rFonts w:eastAsia="標楷體"/>
        </w:rPr>
        <w:t>、本要點經學程事務會議及院</w:t>
      </w:r>
      <w:proofErr w:type="gramStart"/>
      <w:r w:rsidR="00ED0C63" w:rsidRPr="00C957F8">
        <w:rPr>
          <w:rFonts w:eastAsia="標楷體"/>
        </w:rPr>
        <w:t>務</w:t>
      </w:r>
      <w:proofErr w:type="gramEnd"/>
      <w:r w:rsidR="00ED0C63" w:rsidRPr="00C957F8">
        <w:rPr>
          <w:rFonts w:eastAsia="標楷體"/>
        </w:rPr>
        <w:t>會議通過後實施，修正時亦同。</w:t>
      </w:r>
    </w:p>
    <w:p w14:paraId="4B4E700C" w14:textId="77777777" w:rsidR="003C1A06" w:rsidRPr="00C957F8" w:rsidRDefault="003C1A06" w:rsidP="00E10F66">
      <w:pPr>
        <w:spacing w:line="340" w:lineRule="exact"/>
        <w:ind w:leftChars="-118" w:left="-283" w:firstLineChars="118" w:firstLine="283"/>
        <w:rPr>
          <w:rFonts w:eastAsia="標楷體"/>
        </w:rPr>
      </w:pPr>
    </w:p>
    <w:p w14:paraId="1B2D4E1C" w14:textId="77777777" w:rsidR="00522396" w:rsidRPr="00C957F8" w:rsidRDefault="003C1A06" w:rsidP="00A90773">
      <w:pPr>
        <w:spacing w:line="260" w:lineRule="exact"/>
        <w:ind w:leftChars="-118" w:left="-283" w:firstLineChars="118" w:firstLine="236"/>
        <w:rPr>
          <w:rFonts w:eastAsia="標楷體"/>
          <w:sz w:val="20"/>
          <w:szCs w:val="20"/>
        </w:rPr>
      </w:pPr>
      <w:r w:rsidRPr="00C957F8">
        <w:rPr>
          <w:rFonts w:eastAsia="標楷體"/>
          <w:sz w:val="20"/>
          <w:szCs w:val="20"/>
        </w:rPr>
        <w:t>本要點權責單位為教師專業碩士學位學程，</w:t>
      </w:r>
    </w:p>
    <w:p w14:paraId="341A422B" w14:textId="5653DBE1" w:rsidR="00522396" w:rsidRPr="00C957F8" w:rsidRDefault="003C1A06" w:rsidP="00A90773">
      <w:pPr>
        <w:spacing w:line="260" w:lineRule="exact"/>
        <w:ind w:leftChars="-118" w:left="-283" w:firstLineChars="118" w:firstLine="236"/>
        <w:rPr>
          <w:rFonts w:eastAsia="標楷體"/>
          <w:sz w:val="20"/>
          <w:szCs w:val="20"/>
        </w:rPr>
      </w:pPr>
      <w:r w:rsidRPr="00C957F8">
        <w:rPr>
          <w:rFonts w:eastAsia="標楷體"/>
          <w:sz w:val="20"/>
          <w:szCs w:val="20"/>
        </w:rPr>
        <w:t>於</w:t>
      </w:r>
      <w:r w:rsidRPr="00C957F8">
        <w:rPr>
          <w:rFonts w:eastAsia="標楷體"/>
          <w:sz w:val="20"/>
          <w:szCs w:val="20"/>
        </w:rPr>
        <w:t>11</w:t>
      </w:r>
      <w:r w:rsidR="003449EC" w:rsidRPr="00C957F8">
        <w:rPr>
          <w:rFonts w:eastAsia="標楷體"/>
          <w:sz w:val="20"/>
          <w:szCs w:val="20"/>
        </w:rPr>
        <w:t>4</w:t>
      </w:r>
      <w:r w:rsidRPr="00C957F8">
        <w:rPr>
          <w:rFonts w:eastAsia="標楷體"/>
          <w:sz w:val="20"/>
          <w:szCs w:val="20"/>
        </w:rPr>
        <w:t>年</w:t>
      </w:r>
      <w:r w:rsidR="00A14ABC" w:rsidRPr="00C957F8">
        <w:rPr>
          <w:rFonts w:eastAsia="標楷體"/>
          <w:sz w:val="20"/>
          <w:szCs w:val="20"/>
        </w:rPr>
        <w:t>9</w:t>
      </w:r>
      <w:r w:rsidRPr="00C957F8">
        <w:rPr>
          <w:rFonts w:eastAsia="標楷體"/>
          <w:sz w:val="20"/>
          <w:szCs w:val="20"/>
        </w:rPr>
        <w:t>月</w:t>
      </w:r>
      <w:r w:rsidR="00A14ABC" w:rsidRPr="00C957F8">
        <w:rPr>
          <w:rFonts w:eastAsia="標楷體"/>
          <w:sz w:val="20"/>
          <w:szCs w:val="20"/>
        </w:rPr>
        <w:t>19</w:t>
      </w:r>
      <w:r w:rsidRPr="00C957F8">
        <w:rPr>
          <w:rFonts w:eastAsia="標楷體"/>
          <w:sz w:val="20"/>
          <w:szCs w:val="20"/>
        </w:rPr>
        <w:t>日學程事務會議通過，</w:t>
      </w:r>
    </w:p>
    <w:p w14:paraId="6E6935B9" w14:textId="3E254E16" w:rsidR="00522396" w:rsidRPr="00C957F8" w:rsidRDefault="006944B9" w:rsidP="00A90773">
      <w:pPr>
        <w:spacing w:line="260" w:lineRule="exact"/>
        <w:ind w:leftChars="-118" w:left="-283" w:firstLineChars="118" w:firstLine="236"/>
        <w:rPr>
          <w:rFonts w:eastAsia="標楷體"/>
          <w:sz w:val="20"/>
          <w:szCs w:val="20"/>
        </w:rPr>
      </w:pPr>
      <w:r w:rsidRPr="00C957F8">
        <w:rPr>
          <w:rFonts w:eastAsia="標楷體"/>
          <w:sz w:val="20"/>
          <w:szCs w:val="20"/>
        </w:rPr>
        <w:t>11</w:t>
      </w:r>
      <w:r w:rsidR="003449EC" w:rsidRPr="00C957F8">
        <w:rPr>
          <w:rFonts w:eastAsia="標楷體"/>
          <w:sz w:val="20"/>
          <w:szCs w:val="20"/>
        </w:rPr>
        <w:t>4</w:t>
      </w:r>
      <w:r w:rsidR="003C1A06" w:rsidRPr="00C957F8">
        <w:rPr>
          <w:rFonts w:eastAsia="標楷體"/>
          <w:sz w:val="20"/>
          <w:szCs w:val="20"/>
        </w:rPr>
        <w:t>年</w:t>
      </w:r>
      <w:r w:rsidR="000D6B48">
        <w:rPr>
          <w:rFonts w:eastAsia="標楷體" w:hint="eastAsia"/>
          <w:sz w:val="20"/>
          <w:szCs w:val="20"/>
        </w:rPr>
        <w:t>10</w:t>
      </w:r>
      <w:r w:rsidR="003C1A06" w:rsidRPr="00C957F8">
        <w:rPr>
          <w:rFonts w:eastAsia="標楷體"/>
          <w:sz w:val="20"/>
          <w:szCs w:val="20"/>
        </w:rPr>
        <w:t>月</w:t>
      </w:r>
      <w:r w:rsidR="000D6B48">
        <w:rPr>
          <w:rFonts w:eastAsia="標楷體" w:hint="eastAsia"/>
          <w:sz w:val="20"/>
          <w:szCs w:val="20"/>
        </w:rPr>
        <w:t>21</w:t>
      </w:r>
      <w:r w:rsidR="003C1A06" w:rsidRPr="00C957F8">
        <w:rPr>
          <w:rFonts w:eastAsia="標楷體"/>
          <w:sz w:val="20"/>
          <w:szCs w:val="20"/>
        </w:rPr>
        <w:t>日校長核准，</w:t>
      </w:r>
    </w:p>
    <w:p w14:paraId="553EECB2" w14:textId="7EA21096" w:rsidR="003C1A06" w:rsidRPr="00C957F8" w:rsidRDefault="006944B9" w:rsidP="00A90773">
      <w:pPr>
        <w:spacing w:line="260" w:lineRule="exact"/>
        <w:ind w:leftChars="-118" w:left="-283" w:firstLineChars="118" w:firstLine="236"/>
        <w:rPr>
          <w:rFonts w:eastAsia="Batang"/>
          <w:sz w:val="20"/>
          <w:szCs w:val="20"/>
        </w:rPr>
      </w:pPr>
      <w:r w:rsidRPr="00C957F8">
        <w:rPr>
          <w:rFonts w:eastAsia="標楷體"/>
          <w:sz w:val="20"/>
          <w:szCs w:val="20"/>
        </w:rPr>
        <w:t>11</w:t>
      </w:r>
      <w:r w:rsidR="003449EC" w:rsidRPr="00C957F8">
        <w:rPr>
          <w:rFonts w:eastAsia="標楷體"/>
          <w:sz w:val="20"/>
          <w:szCs w:val="20"/>
        </w:rPr>
        <w:t>4</w:t>
      </w:r>
      <w:r w:rsidR="003C1A06" w:rsidRPr="00C957F8">
        <w:rPr>
          <w:rFonts w:eastAsia="標楷體"/>
          <w:sz w:val="20"/>
          <w:szCs w:val="20"/>
        </w:rPr>
        <w:t>年</w:t>
      </w:r>
      <w:r w:rsidR="000D6B48">
        <w:rPr>
          <w:rFonts w:eastAsia="標楷體" w:hint="eastAsia"/>
          <w:sz w:val="20"/>
          <w:szCs w:val="20"/>
        </w:rPr>
        <w:t>10</w:t>
      </w:r>
      <w:r w:rsidR="003C1A06" w:rsidRPr="00C957F8">
        <w:rPr>
          <w:rFonts w:eastAsia="標楷體"/>
          <w:sz w:val="20"/>
          <w:szCs w:val="20"/>
        </w:rPr>
        <w:t>月</w:t>
      </w:r>
      <w:r w:rsidR="000D6B48">
        <w:rPr>
          <w:rFonts w:eastAsia="標楷體" w:hint="eastAsia"/>
          <w:sz w:val="20"/>
          <w:szCs w:val="20"/>
        </w:rPr>
        <w:t>27</w:t>
      </w:r>
      <w:bookmarkStart w:id="2" w:name="_GoBack"/>
      <w:bookmarkEnd w:id="2"/>
      <w:r w:rsidR="003C1A06" w:rsidRPr="00C957F8">
        <w:rPr>
          <w:rFonts w:eastAsia="標楷體"/>
          <w:sz w:val="20"/>
          <w:szCs w:val="20"/>
        </w:rPr>
        <w:t>日公告。</w:t>
      </w:r>
    </w:p>
    <w:p w14:paraId="6A0B577B" w14:textId="77777777" w:rsidR="00965038" w:rsidRPr="00C957F8" w:rsidRDefault="00965038" w:rsidP="00A90773">
      <w:pPr>
        <w:spacing w:line="260" w:lineRule="exact"/>
        <w:ind w:leftChars="-118" w:left="-283" w:firstLineChars="118" w:firstLine="283"/>
        <w:rPr>
          <w:rFonts w:ascii="Batang" w:eastAsiaTheme="minorEastAsia" w:hAnsi="Batang"/>
        </w:rPr>
      </w:pPr>
    </w:p>
    <w:sectPr w:rsidR="00965038" w:rsidRPr="00C957F8" w:rsidSect="00A90773">
      <w:pgSz w:w="11906" w:h="16838"/>
      <w:pgMar w:top="709" w:right="849" w:bottom="284"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07F1D" w14:textId="77777777" w:rsidR="00B21170" w:rsidRDefault="00B21170" w:rsidP="00F658EB">
      <w:r>
        <w:separator/>
      </w:r>
    </w:p>
  </w:endnote>
  <w:endnote w:type="continuationSeparator" w:id="0">
    <w:p w14:paraId="4B7DD864" w14:textId="77777777" w:rsidR="00B21170" w:rsidRDefault="00B21170" w:rsidP="00F65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Batang">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75CA4" w14:textId="77777777" w:rsidR="00B21170" w:rsidRDefault="00B21170" w:rsidP="00F658EB">
      <w:r>
        <w:separator/>
      </w:r>
    </w:p>
  </w:footnote>
  <w:footnote w:type="continuationSeparator" w:id="0">
    <w:p w14:paraId="68D03942" w14:textId="77777777" w:rsidR="00B21170" w:rsidRDefault="00B21170" w:rsidP="00F658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447F90"/>
    <w:multiLevelType w:val="hybridMultilevel"/>
    <w:tmpl w:val="DFA0BBFE"/>
    <w:lvl w:ilvl="0" w:tplc="3448348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C63"/>
    <w:rsid w:val="00011F52"/>
    <w:rsid w:val="00050921"/>
    <w:rsid w:val="000D6B48"/>
    <w:rsid w:val="000E1654"/>
    <w:rsid w:val="00117E65"/>
    <w:rsid w:val="0014651C"/>
    <w:rsid w:val="00150B57"/>
    <w:rsid w:val="0018627B"/>
    <w:rsid w:val="001B3332"/>
    <w:rsid w:val="002131CC"/>
    <w:rsid w:val="0024596E"/>
    <w:rsid w:val="003449EC"/>
    <w:rsid w:val="00355792"/>
    <w:rsid w:val="0038055F"/>
    <w:rsid w:val="00383C3E"/>
    <w:rsid w:val="003C1A06"/>
    <w:rsid w:val="003F5681"/>
    <w:rsid w:val="00424F08"/>
    <w:rsid w:val="00447AB3"/>
    <w:rsid w:val="00457CDC"/>
    <w:rsid w:val="00522396"/>
    <w:rsid w:val="006944B9"/>
    <w:rsid w:val="006D58CF"/>
    <w:rsid w:val="00713924"/>
    <w:rsid w:val="00757FE4"/>
    <w:rsid w:val="007B7376"/>
    <w:rsid w:val="007F7624"/>
    <w:rsid w:val="00800D7A"/>
    <w:rsid w:val="00885111"/>
    <w:rsid w:val="00907169"/>
    <w:rsid w:val="00934502"/>
    <w:rsid w:val="00963A33"/>
    <w:rsid w:val="00965038"/>
    <w:rsid w:val="00A14ABC"/>
    <w:rsid w:val="00A602C7"/>
    <w:rsid w:val="00A6105B"/>
    <w:rsid w:val="00A86980"/>
    <w:rsid w:val="00A90773"/>
    <w:rsid w:val="00AA3B40"/>
    <w:rsid w:val="00AA47F0"/>
    <w:rsid w:val="00B00721"/>
    <w:rsid w:val="00B009BB"/>
    <w:rsid w:val="00B21170"/>
    <w:rsid w:val="00BA1834"/>
    <w:rsid w:val="00BC2386"/>
    <w:rsid w:val="00BD426B"/>
    <w:rsid w:val="00BD6716"/>
    <w:rsid w:val="00C33F87"/>
    <w:rsid w:val="00C957F8"/>
    <w:rsid w:val="00CE0862"/>
    <w:rsid w:val="00D90B8D"/>
    <w:rsid w:val="00E10F66"/>
    <w:rsid w:val="00E74028"/>
    <w:rsid w:val="00ED0C63"/>
    <w:rsid w:val="00ED52FE"/>
    <w:rsid w:val="00F15770"/>
    <w:rsid w:val="00F658EB"/>
    <w:rsid w:val="00FB28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68E6F1"/>
  <w15:docId w15:val="{2E72BFF8-0818-40BB-99D8-77E3B3C6D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D0C63"/>
    <w:pPr>
      <w:widowControl w:val="0"/>
    </w:pPr>
    <w:rPr>
      <w:rFonts w:ascii="Times New Roman" w:eastAsia="新細明體" w:hAnsi="Times New Roman" w:cs="Times New Roman"/>
      <w:szCs w:val="24"/>
    </w:rPr>
  </w:style>
  <w:style w:type="paragraph" w:styleId="2">
    <w:name w:val="heading 2"/>
    <w:basedOn w:val="a"/>
    <w:next w:val="a"/>
    <w:link w:val="20"/>
    <w:semiHidden/>
    <w:unhideWhenUsed/>
    <w:qFormat/>
    <w:rsid w:val="00ED0C63"/>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semiHidden/>
    <w:rsid w:val="00ED0C63"/>
    <w:rPr>
      <w:rFonts w:asciiTheme="majorHAnsi" w:eastAsiaTheme="majorEastAsia" w:hAnsiTheme="majorHAnsi" w:cstheme="majorBidi"/>
      <w:b/>
      <w:bCs/>
      <w:sz w:val="48"/>
      <w:szCs w:val="48"/>
    </w:rPr>
  </w:style>
  <w:style w:type="paragraph" w:styleId="a3">
    <w:name w:val="List Paragraph"/>
    <w:basedOn w:val="a"/>
    <w:uiPriority w:val="34"/>
    <w:qFormat/>
    <w:rsid w:val="00ED0C63"/>
    <w:pPr>
      <w:ind w:leftChars="200" w:left="480"/>
    </w:pPr>
  </w:style>
  <w:style w:type="paragraph" w:styleId="a4">
    <w:name w:val="header"/>
    <w:basedOn w:val="a"/>
    <w:link w:val="a5"/>
    <w:uiPriority w:val="99"/>
    <w:unhideWhenUsed/>
    <w:rsid w:val="00F658EB"/>
    <w:pPr>
      <w:tabs>
        <w:tab w:val="center" w:pos="4153"/>
        <w:tab w:val="right" w:pos="8306"/>
      </w:tabs>
      <w:snapToGrid w:val="0"/>
    </w:pPr>
    <w:rPr>
      <w:sz w:val="20"/>
      <w:szCs w:val="20"/>
    </w:rPr>
  </w:style>
  <w:style w:type="character" w:customStyle="1" w:styleId="a5">
    <w:name w:val="頁首 字元"/>
    <w:basedOn w:val="a0"/>
    <w:link w:val="a4"/>
    <w:uiPriority w:val="99"/>
    <w:rsid w:val="00F658EB"/>
    <w:rPr>
      <w:rFonts w:ascii="Times New Roman" w:eastAsia="新細明體" w:hAnsi="Times New Roman" w:cs="Times New Roman"/>
      <w:sz w:val="20"/>
      <w:szCs w:val="20"/>
    </w:rPr>
  </w:style>
  <w:style w:type="paragraph" w:styleId="a6">
    <w:name w:val="footer"/>
    <w:basedOn w:val="a"/>
    <w:link w:val="a7"/>
    <w:uiPriority w:val="99"/>
    <w:unhideWhenUsed/>
    <w:rsid w:val="00F658EB"/>
    <w:pPr>
      <w:tabs>
        <w:tab w:val="center" w:pos="4153"/>
        <w:tab w:val="right" w:pos="8306"/>
      </w:tabs>
      <w:snapToGrid w:val="0"/>
    </w:pPr>
    <w:rPr>
      <w:sz w:val="20"/>
      <w:szCs w:val="20"/>
    </w:rPr>
  </w:style>
  <w:style w:type="character" w:customStyle="1" w:styleId="a7">
    <w:name w:val="頁尾 字元"/>
    <w:basedOn w:val="a0"/>
    <w:link w:val="a6"/>
    <w:uiPriority w:val="99"/>
    <w:rsid w:val="00F658EB"/>
    <w:rPr>
      <w:rFonts w:ascii="Times New Roman" w:eastAsia="新細明體" w:hAnsi="Times New Roman" w:cs="Times New Roman"/>
      <w:sz w:val="20"/>
      <w:szCs w:val="20"/>
    </w:rPr>
  </w:style>
  <w:style w:type="paragraph" w:styleId="a8">
    <w:name w:val="Balloon Text"/>
    <w:basedOn w:val="a"/>
    <w:link w:val="a9"/>
    <w:uiPriority w:val="99"/>
    <w:semiHidden/>
    <w:unhideWhenUsed/>
    <w:rsid w:val="00FB2812"/>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B28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565</Characters>
  <Application>Microsoft Office Word</Application>
  <DocSecurity>0</DocSecurity>
  <Lines>4</Lines>
  <Paragraphs>1</Paragraphs>
  <ScaleCrop>false</ScaleCrop>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user</cp:lastModifiedBy>
  <cp:revision>4</cp:revision>
  <cp:lastPrinted>2024-03-12T03:17:00Z</cp:lastPrinted>
  <dcterms:created xsi:type="dcterms:W3CDTF">2025-10-17T01:27:00Z</dcterms:created>
  <dcterms:modified xsi:type="dcterms:W3CDTF">2025-10-27T06:21:00Z</dcterms:modified>
</cp:coreProperties>
</file>